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6FF49" w14:textId="77777777" w:rsidR="000162E1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cs="TimesNewRoman"/>
          <w:color w:val="000000"/>
          <w:sz w:val="32"/>
          <w:szCs w:val="32"/>
        </w:rPr>
      </w:pPr>
      <w:r>
        <w:rPr>
          <w:rFonts w:ascii="TimesNewRoman" w:eastAsia="TimesNewRoman" w:cs="TimesNewRoman"/>
          <w:color w:val="000000"/>
          <w:sz w:val="32"/>
          <w:szCs w:val="32"/>
        </w:rPr>
        <w:t>Arcidiocesi di Urbino-Urbania-S. Angelo in Vado</w:t>
      </w:r>
    </w:p>
    <w:p w14:paraId="424C6B69" w14:textId="77777777" w:rsidR="000162E1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NewRoman" w:eastAsia="TimesNewRoman" w:cs="TimesNewRoman"/>
          <w:color w:val="000000"/>
          <w:sz w:val="24"/>
          <w:szCs w:val="24"/>
        </w:rPr>
        <w:t>UFFICIO DIOCESANO PER L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’</w:t>
      </w:r>
      <w:r>
        <w:rPr>
          <w:rFonts w:ascii="TimesNewRoman" w:eastAsia="TimesNewRoman" w:cs="TimesNewRoman"/>
          <w:color w:val="000000"/>
          <w:sz w:val="24"/>
          <w:szCs w:val="24"/>
        </w:rPr>
        <w:t>EVANGELIZZAZIONE</w:t>
      </w:r>
    </w:p>
    <w:p w14:paraId="08C17776" w14:textId="77777777" w:rsidR="000162E1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NewRoman" w:eastAsia="TimesNewRoman" w:cs="TimesNewRoman"/>
          <w:color w:val="000000"/>
          <w:sz w:val="24"/>
          <w:szCs w:val="24"/>
        </w:rPr>
        <w:t>Settore SCUOLA</w:t>
      </w:r>
    </w:p>
    <w:p w14:paraId="011094F5" w14:textId="4B01FCB7" w:rsidR="000162E1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cs="TimesNewRoman"/>
          <w:color w:val="000000"/>
        </w:rPr>
      </w:pPr>
      <w:r>
        <w:rPr>
          <w:rFonts w:ascii="TimesNewRoman" w:eastAsia="TimesNewRoman" w:cs="TimesNewRoman"/>
          <w:color w:val="000000"/>
        </w:rPr>
        <w:t>Via Beato Mainardo, 4 - 61029 Urbino (PU)</w:t>
      </w:r>
    </w:p>
    <w:p w14:paraId="4DE3BB37" w14:textId="2B2C5DAD" w:rsidR="000162E1" w:rsidRDefault="007F750E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cs="TimesNewRoman"/>
          <w:color w:val="0000FF"/>
        </w:rPr>
      </w:pPr>
      <w:hyperlink r:id="rId4" w:history="1">
        <w:r w:rsidR="000162E1" w:rsidRPr="005C223A">
          <w:rPr>
            <w:rStyle w:val="Collegamentoipertestuale"/>
            <w:rFonts w:ascii="TimesNewRoman" w:eastAsia="TimesNewRoman" w:cs="TimesNewRoman"/>
          </w:rPr>
          <w:t>ufficioscuola@arcidiocesiurbino.it</w:t>
        </w:r>
      </w:hyperlink>
    </w:p>
    <w:p w14:paraId="5320E0CE" w14:textId="77777777" w:rsidR="000162E1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cs="TimesNewRoman"/>
          <w:color w:val="0000FF"/>
        </w:rPr>
      </w:pPr>
    </w:p>
    <w:p w14:paraId="34920339" w14:textId="3F58407F" w:rsidR="000162E1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NewRoman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28"/>
          <w:szCs w:val="28"/>
        </w:rPr>
        <w:t>Tesario ed indicazioni bibliografiche per la prova di idoneità all’IRC</w:t>
      </w:r>
    </w:p>
    <w:p w14:paraId="37AF3010" w14:textId="77777777" w:rsidR="000162E1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NewRoman" w:hAnsi="TimesNewRoman,Bold" w:cs="TimesNewRoman,Bold"/>
          <w:b/>
          <w:bCs/>
          <w:color w:val="000000"/>
          <w:sz w:val="28"/>
          <w:szCs w:val="28"/>
        </w:rPr>
      </w:pPr>
    </w:p>
    <w:p w14:paraId="60927E2B" w14:textId="77777777" w:rsidR="000162E1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NewRoman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28"/>
          <w:szCs w:val="28"/>
        </w:rPr>
        <w:t>Tesario</w:t>
      </w:r>
    </w:p>
    <w:p w14:paraId="4B2263F8" w14:textId="1758CB2C" w:rsidR="000162E1" w:rsidRPr="00F76615" w:rsidRDefault="000162E1" w:rsidP="00F766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>Il presente tesario, volutamente dettagliato, intende illustrare i possibili argomenti di verifica oggetto della prova di idoneità.</w:t>
      </w:r>
    </w:p>
    <w:p w14:paraId="0161FC6F" w14:textId="77777777" w:rsidR="000162E1" w:rsidRPr="00F76615" w:rsidRDefault="000162E1" w:rsidP="00F766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>I candidati dovranno dare prova:</w:t>
      </w:r>
    </w:p>
    <w:p w14:paraId="271DF1E9" w14:textId="3FA275A0" w:rsidR="000162E1" w:rsidRPr="00F76615" w:rsidRDefault="000162E1" w:rsidP="00F766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A) di </w:t>
      </w:r>
      <w:r w:rsidRPr="00F76615">
        <w:rPr>
          <w:rFonts w:ascii="Times New Roman" w:eastAsia="TimesNewRoman" w:hAnsi="Times New Roman" w:cs="Times New Roman"/>
          <w:b/>
          <w:bCs/>
          <w:i/>
          <w:iCs/>
          <w:color w:val="000000"/>
          <w:sz w:val="24"/>
          <w:szCs w:val="24"/>
        </w:rPr>
        <w:t>conoscere</w:t>
      </w: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>, al livello adeguato alle esigenze dell</w:t>
      </w:r>
      <w:r w:rsidR="00F76615"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>’</w:t>
      </w: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>insegnamento:</w:t>
      </w:r>
    </w:p>
    <w:p w14:paraId="42D64B57" w14:textId="77777777" w:rsidR="000162E1" w:rsidRPr="00F76615" w:rsidRDefault="000162E1" w:rsidP="00F766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1) i contenuti della </w:t>
      </w:r>
      <w:r w:rsidRPr="00F76615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rivelazione cristiana </w:t>
      </w: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e della </w:t>
      </w:r>
      <w:r w:rsidRPr="00F76615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dottrina della Chiesa</w:t>
      </w: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>, espressi in un</w:t>
      </w:r>
    </w:p>
    <w:p w14:paraId="321529D3" w14:textId="77777777" w:rsidR="000162E1" w:rsidRPr="00F76615" w:rsidRDefault="000162E1" w:rsidP="00F766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linguaggio teologico </w:t>
      </w: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>corretto;</w:t>
      </w:r>
    </w:p>
    <w:p w14:paraId="70F2644F" w14:textId="77777777" w:rsidR="000162E1" w:rsidRPr="00F76615" w:rsidRDefault="000162E1" w:rsidP="00F766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2) la </w:t>
      </w:r>
      <w:r w:rsidRPr="00F76615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storia culturale del cristianesimo</w:t>
      </w: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14:paraId="5D2F9EED" w14:textId="4BA86BE3" w:rsidR="000162E1" w:rsidRPr="00F76615" w:rsidRDefault="000162E1" w:rsidP="00F766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3) la </w:t>
      </w:r>
      <w:r w:rsidRPr="00F76615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teoria della scuola</w:t>
      </w: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la </w:t>
      </w:r>
      <w:r w:rsidRPr="00F76615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pedagogia </w:t>
      </w: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e la </w:t>
      </w:r>
      <w:r w:rsidRPr="00F76615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didattica</w:t>
      </w: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>, con particolare riferimento all’insegnamento della religione cattolica;</w:t>
      </w:r>
    </w:p>
    <w:p w14:paraId="62034D08" w14:textId="3DDD758C" w:rsidR="000162E1" w:rsidRPr="00F76615" w:rsidRDefault="000162E1" w:rsidP="00F766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B) di </w:t>
      </w:r>
      <w:r w:rsidRPr="00F76615">
        <w:rPr>
          <w:rFonts w:ascii="Times New Roman" w:eastAsia="TimesNewRoman" w:hAnsi="Times New Roman" w:cs="Times New Roman"/>
          <w:b/>
          <w:bCs/>
          <w:i/>
          <w:iCs/>
          <w:color w:val="000000"/>
          <w:sz w:val="24"/>
          <w:szCs w:val="24"/>
        </w:rPr>
        <w:t xml:space="preserve">saper presentare </w:t>
      </w: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>i contenuti dei punti (1) e (2) in maniera pedagogicamente corretta e didatticamente efficace.</w:t>
      </w:r>
    </w:p>
    <w:p w14:paraId="5828D156" w14:textId="77777777" w:rsidR="000162E1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NewRoman" w:hAnsi="TimesNewRoman,Bold" w:cs="TimesNewRoman,Bold"/>
          <w:b/>
          <w:bCs/>
          <w:color w:val="000000"/>
          <w:sz w:val="28"/>
          <w:szCs w:val="28"/>
        </w:rPr>
      </w:pPr>
    </w:p>
    <w:p w14:paraId="33AF2358" w14:textId="73F34EF4" w:rsidR="000162E1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NewRoman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28"/>
          <w:szCs w:val="28"/>
        </w:rPr>
        <w:t>1. Teologia Biblica</w:t>
      </w:r>
    </w:p>
    <w:p w14:paraId="05D544FD" w14:textId="25EF3815" w:rsidR="000162E1" w:rsidRDefault="000162E1" w:rsidP="00F766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1. </w:t>
      </w:r>
      <w:r w:rsidRPr="00F76615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Geografia e storia biblica</w:t>
      </w: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>. Le regioni, le localita principali, i popoli del Vicino Oriente Antico e in particolare della Terra Santa. Topografia essenziale di Gerusalemme. Geografia dei viaggi di San Paolo. Storia di Israele a grandi linee: patriarchi, esodo, “conquista” ed epoca dei giudici, monarchia, regni divisi, caduta di Samaria, caduta di Gerusalemme ed esilio, restaurazione di Esdra e Neemia, epoca dei Maccabei ed ellenismo, invasione romana, guerra giudaica e distruzione del Tempio. I principali gruppi religiosi del giudaismo del I secolo.</w:t>
      </w:r>
    </w:p>
    <w:p w14:paraId="65474795" w14:textId="77777777" w:rsidR="00F76615" w:rsidRPr="00F76615" w:rsidRDefault="00F76615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14:paraId="42E35AED" w14:textId="779C43A5" w:rsidR="000162E1" w:rsidRPr="00F76615" w:rsidRDefault="000162E1" w:rsidP="00F766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2. </w:t>
      </w:r>
      <w:r w:rsidRPr="00F76615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Introduzione generale alla Sacra Scrittura</w:t>
      </w: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>. Sacra Scrittura e Parola di Dio. Le lingue e le traduzioni della Bibbia. Bibbia ebraica e bibbia cristiana. Concetto di ispirazione. Canone dell’AT e del NT. “Sinfonia dei due testamenti” ed esegesi tipologica. Generi letterari. Bibbia e verita storica.</w:t>
      </w:r>
    </w:p>
    <w:p w14:paraId="2FEB602F" w14:textId="56D7FB2F" w:rsidR="000162E1" w:rsidRPr="00F76615" w:rsidRDefault="000162E1" w:rsidP="00F766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>L’interpretazione della Bibbia: metodo storico critico e nuovi strumenti di analisi. La Bibbia come testo letterario.</w:t>
      </w:r>
    </w:p>
    <w:p w14:paraId="4CCA23EF" w14:textId="1ABE0576" w:rsidR="000162E1" w:rsidRPr="00F76615" w:rsidRDefault="000162E1" w:rsidP="00F766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3. </w:t>
      </w:r>
      <w:r w:rsidRPr="00F76615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Antico Testamento</w:t>
      </w: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. Il Pentateuco: teoria delle fonti (J-E-D-P) e sua valutazione critica alla luce della ricerca recente. I tre grandi codici legislativi (codice dell’alleanza, legge di santità, codice </w:t>
      </w: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deuteronomico): tratti caratteristici. I libri storici. Profeti preesilici (Amos, Osea, Isaia, Geremia), esilici e postesilici (Ezechiele, Isaia 4066, Gioele, Zaccaria). Letteratura apocalittica dell’AT (soprattutto Daniele). I libri sapienziali: tratti caratteristici. I libri deuterocanonici, perché si chiamano cosi.</w:t>
      </w:r>
    </w:p>
    <w:p w14:paraId="5A1B596F" w14:textId="582E3CA9" w:rsidR="000162E1" w:rsidRPr="00F76615" w:rsidRDefault="000162E1" w:rsidP="00F766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4. </w:t>
      </w:r>
      <w:r w:rsidRPr="00F76615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Nuovo Testamento</w:t>
      </w: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. Datazione degli scritti del NT. Tappe della formazione e redazione dei vangeli. </w:t>
      </w:r>
      <w:r w:rsidRPr="00F76615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Formgeschichte</w:t>
      </w: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r w:rsidRPr="00F76615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Tradiktionsgeschichte </w:t>
      </w: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e </w:t>
      </w:r>
      <w:r w:rsidRPr="00F76615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Redaktionsgeschichte</w:t>
      </w:r>
      <w:r w:rsidRPr="00F7661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. Sinottici e questione sinottica. Tratti peculiari di ciascuno dei sinottici. Valore delle parabole. Il Vangelo di Giovanni: 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>struttura, teologia, termini chiave (vita, verita, segno, luce, vedere, credere, rimanere…); relazione con i sinottici. Gli Atti degli Apostoli: autore, importanza per la storiografia protocristiana, temi teologici principali. Scritti paolini: teologia delle lettere (1Ts, 1,2 Cor, Gal, Rm). Lettere deuteropaoline e pastorali. Il sacerdozio nella lettera agli ebrei. Le lettere cattoliche: temi principali.</w:t>
      </w:r>
    </w:p>
    <w:p w14:paraId="6642E5D7" w14:textId="77777777" w:rsidR="000162E1" w:rsidRPr="00F76615" w:rsidRDefault="000162E1" w:rsidP="00F766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sz w:val="24"/>
          <w:szCs w:val="24"/>
        </w:rPr>
        <w:t>L’Apocalisse: genere letterario e situazione ecclesiale.</w:t>
      </w:r>
    </w:p>
    <w:p w14:paraId="38F6F2AD" w14:textId="3AB4CF44" w:rsidR="000162E1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Letture complementari: 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PONTIFICIA COMMISSIONE BIBLICA </w:t>
      </w:r>
      <w:r w:rsidRPr="00F76615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L’interpretazione della Bibbia nella Chiesa 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(1993); BENEDETTO XVI, Esortazione postsinodale dal </w:t>
      </w:r>
      <w:r w:rsidRPr="00F76615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Verbum Domini 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>(2010)</w:t>
      </w:r>
    </w:p>
    <w:p w14:paraId="458035C0" w14:textId="77777777" w:rsidR="00F76615" w:rsidRPr="00F76615" w:rsidRDefault="00F76615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74C89962" w14:textId="77777777" w:rsidR="000162E1" w:rsidRPr="00F76615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F76615">
        <w:rPr>
          <w:rFonts w:ascii="Times New Roman" w:eastAsia="TimesNewRoman" w:hAnsi="Times New Roman" w:cs="Times New Roman"/>
          <w:b/>
          <w:bCs/>
          <w:sz w:val="28"/>
          <w:szCs w:val="28"/>
        </w:rPr>
        <w:t>2. Teologia fondamentale</w:t>
      </w:r>
    </w:p>
    <w:p w14:paraId="062424AC" w14:textId="72CC4717" w:rsidR="000162E1" w:rsidRPr="00F76615" w:rsidRDefault="000162E1" w:rsidP="00F766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1. </w:t>
      </w:r>
      <w:r w:rsidRPr="00F76615">
        <w:rPr>
          <w:rFonts w:ascii="Times New Roman" w:eastAsia="TimesNewRoman" w:hAnsi="Times New Roman" w:cs="Times New Roman"/>
          <w:b/>
          <w:bCs/>
          <w:sz w:val="24"/>
          <w:szCs w:val="24"/>
        </w:rPr>
        <w:t>Gesù rivelatore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>. Storia dell’indagine sul Gesu storico; la situazione attuale (“</w:t>
      </w:r>
      <w:r w:rsidRPr="00F76615">
        <w:rPr>
          <w:rFonts w:ascii="Times New Roman" w:eastAsia="TimesNewRoman" w:hAnsi="Times New Roman" w:cs="Times New Roman"/>
          <w:i/>
          <w:iCs/>
          <w:sz w:val="24"/>
          <w:szCs w:val="24"/>
        </w:rPr>
        <w:t>third quest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>”). Criteri di autenticita storica dei Vangeli. Valore storico della letteratura apocrifa. L’autocoscienza filiale di Gesu. Il valore dei miracoli. La resurrezione: evento e credibilita. Resurrezione della carne, immortalita dell’anima e dottrina della resurrezione.</w:t>
      </w:r>
    </w:p>
    <w:p w14:paraId="03E0CC13" w14:textId="59B02351" w:rsidR="000162E1" w:rsidRPr="00F76615" w:rsidRDefault="000162E1" w:rsidP="00F766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2. </w:t>
      </w:r>
      <w:r w:rsidRPr="00F76615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Dall’apologetica alla Teologia Fondamentale 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(TF): la </w:t>
      </w:r>
      <w:r w:rsidRPr="00F76615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triplex demonstratio 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e la funzione della TF alla luce della Costituzione </w:t>
      </w:r>
      <w:r w:rsidRPr="00F76615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Dei Filius 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del Concilio Vaticano I. Il rinnovamento del TF a partire dalla </w:t>
      </w:r>
      <w:r w:rsidRPr="00F76615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Dei Verbum 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>del Concilio Vaticano II, come disciplina teologica e di frontiera.</w:t>
      </w:r>
    </w:p>
    <w:p w14:paraId="1E7FD962" w14:textId="5043B1D3" w:rsidR="000162E1" w:rsidRPr="00F76615" w:rsidRDefault="000162E1" w:rsidP="00F766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3. </w:t>
      </w:r>
      <w:r w:rsidRPr="00F76615">
        <w:rPr>
          <w:rFonts w:ascii="Times New Roman" w:eastAsia="TimesNewRoman" w:hAnsi="Times New Roman" w:cs="Times New Roman"/>
          <w:b/>
          <w:bCs/>
          <w:sz w:val="24"/>
          <w:szCs w:val="24"/>
        </w:rPr>
        <w:t>La rivelazione e l’obbedienza della fede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. Nozione di </w:t>
      </w:r>
      <w:r w:rsidRPr="00F76615">
        <w:rPr>
          <w:rFonts w:ascii="Times New Roman" w:eastAsia="TimesNewRoman" w:hAnsi="Times New Roman" w:cs="Times New Roman"/>
          <w:i/>
          <w:iCs/>
          <w:sz w:val="24"/>
          <w:szCs w:val="24"/>
        </w:rPr>
        <w:t>praeambula fidei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. Concetto di </w:t>
      </w:r>
      <w:r w:rsidRPr="00F76615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rivelazione 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>nel Vaticano I e nel Vaticano II. Cristo pienezza della rivelazione. L’adesione di fede alla rivelazione. La trasmissione della rivelazione nella Chiesa. Scrittura e Tradizione. L’evoluzione del dogma. I principali simboli della fede (apostolico, niceno-costantinopolitano,…). Il magistero: valore, origine, ruolo dell’episcopato; forme del dissenso.</w:t>
      </w:r>
    </w:p>
    <w:p w14:paraId="03CC6901" w14:textId="2FC485E4" w:rsidR="000162E1" w:rsidRPr="00F76615" w:rsidRDefault="000162E1" w:rsidP="00F766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4. </w:t>
      </w:r>
      <w:r w:rsidRPr="00F76615">
        <w:rPr>
          <w:rFonts w:ascii="Times New Roman" w:eastAsia="TimesNewRoman" w:hAnsi="Times New Roman" w:cs="Times New Roman"/>
          <w:b/>
          <w:bCs/>
          <w:sz w:val="24"/>
          <w:szCs w:val="24"/>
        </w:rPr>
        <w:t>Il dialogo con le altre religioni e la non credenza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. Il fenomeno religioso e la sua specificita: rito, sacrificio, preghiera, ministri. Le principali religioni: ebraismo, islamismo, induismo, buddismo, confucianesimo (tratti generali). Teologia delle religioni: Cristo unico salvatore e valore delle religioni non cristiane; dialogo e missione. Il dialogo privilegiato con l’ebraismo: presupposti e criteri. La sfida della secolarizzazione e i sistemi di senso alternativi. La nuova religiosita e le sette. I fondamentalismi religiosi. Le cosiddette “prove” dell’esistenza di Dio: le cinque vie di S. Tommaso, l’argomento ontologico di S. Anselmo, altri percorsi; valore dimostrativo di questi metodi. Rapporto fede-cultura: inculturazione, globalizzazione, dialogo con il mondo della scienza, della filosofia e 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lastRenderedPageBreak/>
        <w:t>dell’arte. Il confronto tra fede e scienza, con particolare riferimento alla cosmologia (Galileo) e alla biologia (Darwin).</w:t>
      </w:r>
    </w:p>
    <w:p w14:paraId="53E4F3E6" w14:textId="77777777" w:rsidR="000162E1" w:rsidRPr="00F76615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Letture complementari: 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GIOVANNI PAOLO II, </w:t>
      </w:r>
      <w:r w:rsidRPr="00F76615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Fides et Ratio 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>(1998); COMMISSIONE</w:t>
      </w:r>
    </w:p>
    <w:p w14:paraId="116DA2A9" w14:textId="77777777" w:rsidR="000162E1" w:rsidRPr="00F76615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TEOLOGICA INTERNAZIONALE, </w:t>
      </w:r>
      <w:r w:rsidRPr="00F76615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Il cristianesimo e le religioni 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>(1997); CONGREGAZIONE</w:t>
      </w:r>
    </w:p>
    <w:p w14:paraId="3605FAA6" w14:textId="215158F7" w:rsidR="000162E1" w:rsidRPr="00F76615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PER LA DOTTRINA DELLA FEDE, Dichiarazione </w:t>
      </w:r>
      <w:r w:rsidRPr="00F76615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Dominus Jesus 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>(2000).</w:t>
      </w:r>
    </w:p>
    <w:p w14:paraId="48CECD1A" w14:textId="77777777" w:rsidR="000162E1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cs="TimesNewRoman"/>
          <w:sz w:val="24"/>
          <w:szCs w:val="24"/>
        </w:rPr>
      </w:pPr>
    </w:p>
    <w:p w14:paraId="1E6D7033" w14:textId="77777777" w:rsidR="000162E1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NewRoman" w:hAnsi="TimesNewRoman,Bold" w:cs="TimesNewRoman,Bold"/>
          <w:b/>
          <w:bCs/>
          <w:sz w:val="28"/>
          <w:szCs w:val="28"/>
        </w:rPr>
      </w:pPr>
      <w:r>
        <w:rPr>
          <w:rFonts w:ascii="TimesNewRoman,Bold" w:eastAsia="TimesNewRoman" w:hAnsi="TimesNewRoman,Bold" w:cs="TimesNewRoman,Bold"/>
          <w:b/>
          <w:bCs/>
          <w:sz w:val="28"/>
          <w:szCs w:val="28"/>
        </w:rPr>
        <w:t>3. Teologia dogmatica</w:t>
      </w:r>
    </w:p>
    <w:p w14:paraId="71ECCF44" w14:textId="5C394722" w:rsidR="000162E1" w:rsidRPr="00F76615" w:rsidRDefault="000162E1" w:rsidP="00923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1. </w:t>
      </w:r>
      <w:r w:rsidRPr="00F76615">
        <w:rPr>
          <w:rFonts w:ascii="Times New Roman" w:eastAsia="TimesNewRoman" w:hAnsi="Times New Roman" w:cs="Times New Roman"/>
          <w:b/>
          <w:bCs/>
          <w:sz w:val="24"/>
          <w:szCs w:val="24"/>
        </w:rPr>
        <w:t>Unità e Trinità di Dio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. Monoteismo ebraico e mistero della Trinita. </w:t>
      </w:r>
      <w:r w:rsidRPr="00F76615">
        <w:rPr>
          <w:rFonts w:ascii="Cambria Math" w:eastAsia="TimesNewRoman" w:hAnsi="Cambria Math" w:cs="Cambria Math"/>
          <w:sz w:val="24"/>
          <w:szCs w:val="24"/>
        </w:rPr>
        <w:t>≪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>Dio e amore</w:t>
      </w:r>
      <w:r w:rsidRPr="00F76615">
        <w:rPr>
          <w:rFonts w:ascii="Cambria Math" w:eastAsia="TimesNewRoman" w:hAnsi="Cambria Math" w:cs="Cambria Math"/>
          <w:sz w:val="24"/>
          <w:szCs w:val="24"/>
        </w:rPr>
        <w:t>≫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 (1Gv 4,8.16) come sintesi della teologia trinitaria. Trinita immanente e Trinita economica. Nozioni di: natura, persona, ipostasi, relazioni trinitarie. Esposizione dei contenuti dogmatici del simbolo nicenocostantinopolitano.</w:t>
      </w:r>
      <w:r w:rsidR="009233B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>L’analogia psicologica di S. Agostino.</w:t>
      </w:r>
    </w:p>
    <w:p w14:paraId="1C668E11" w14:textId="4E3DB20D" w:rsidR="000162E1" w:rsidRPr="00F76615" w:rsidRDefault="000162E1" w:rsidP="00923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2. </w:t>
      </w:r>
      <w:r w:rsidRPr="00F76615">
        <w:rPr>
          <w:rFonts w:ascii="Times New Roman" w:eastAsia="TimesNewRoman" w:hAnsi="Times New Roman" w:cs="Times New Roman"/>
          <w:b/>
          <w:bCs/>
          <w:sz w:val="24"/>
          <w:szCs w:val="24"/>
        </w:rPr>
        <w:t>Cristologia e soteriologia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>. L’annuncio del Regno di Dio: in che modo Gesu e messia? Gesu sapeva di essere il Figlio di Dio? La cristologia implicita dei Vangeli: i titoli cristologici principali.</w:t>
      </w:r>
    </w:p>
    <w:p w14:paraId="4475CC5B" w14:textId="08E2E17E" w:rsidR="000162E1" w:rsidRPr="00F76615" w:rsidRDefault="000162E1" w:rsidP="00923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sz w:val="24"/>
          <w:szCs w:val="24"/>
        </w:rPr>
        <w:t>Preesistenza del Verbo, unione ipostatica, concepimento verginale: le formule di Calcedonia. I motivi dell’incarnazione: la teoria di S. Anselmo (</w:t>
      </w:r>
      <w:r w:rsidRPr="00F76615">
        <w:rPr>
          <w:rFonts w:ascii="Times New Roman" w:eastAsia="TimesNewRoman" w:hAnsi="Times New Roman" w:cs="Times New Roman"/>
          <w:i/>
          <w:iCs/>
          <w:sz w:val="24"/>
          <w:szCs w:val="24"/>
        </w:rPr>
        <w:t>Cur Deus homo?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). Unita del mistero pasquale: passione, morte, risurrezione, ascensione, e compimento nella Pentecoste. Nozione di </w:t>
      </w:r>
      <w:r w:rsidRPr="00F76615">
        <w:rPr>
          <w:rFonts w:ascii="Times New Roman" w:eastAsia="TimesNewRoman" w:hAnsi="Times New Roman" w:cs="Times New Roman"/>
          <w:i/>
          <w:iCs/>
          <w:sz w:val="24"/>
          <w:szCs w:val="24"/>
        </w:rPr>
        <w:t>grazia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7AD321D2" w14:textId="49D4E9B3" w:rsidR="000162E1" w:rsidRPr="00F76615" w:rsidRDefault="000162E1" w:rsidP="00923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3. </w:t>
      </w:r>
      <w:r w:rsidRPr="00F76615">
        <w:rPr>
          <w:rFonts w:ascii="Times New Roman" w:eastAsia="TimesNewRoman" w:hAnsi="Times New Roman" w:cs="Times New Roman"/>
          <w:b/>
          <w:bCs/>
          <w:sz w:val="24"/>
          <w:szCs w:val="24"/>
        </w:rPr>
        <w:t>Antropologia teologica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. L’uomo creato a immagine e somiglianza di Dio (Gen 1,26‐27) e l’uomo plasmato dalla terra (Gen 2,7): complementarita dei racconti biblici. Antropologia bidimensionale (anima-corpo) e tridimensionale (spirito-anima-corpo: 1Ts 5,23): pregi e difetti dei due modelli. L’uomo e la ricerca di salvezza di fronte alla realta del male </w:t>
      </w:r>
      <w:r w:rsidRPr="00F76615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dentro 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>di se. La giustificazione: dottrina paolina, sviluppi dogmatici del concilio di Trento e recenti convergenze ecumeniche. Vocazione universale alla salvezza (1Tt 2,4) e alla santita. Grazia sanante ed elevante.</w:t>
      </w:r>
    </w:p>
    <w:p w14:paraId="10C57917" w14:textId="77777777" w:rsidR="000162E1" w:rsidRPr="00F76615" w:rsidRDefault="000162E1" w:rsidP="00923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L’uomo </w:t>
      </w:r>
      <w:r w:rsidRPr="00F76615">
        <w:rPr>
          <w:rFonts w:ascii="Cambria Math" w:eastAsia="TimesNewRoman" w:hAnsi="Cambria Math" w:cs="Cambria Math"/>
          <w:sz w:val="24"/>
          <w:szCs w:val="24"/>
        </w:rPr>
        <w:t>≪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>nuova creatura</w:t>
      </w:r>
      <w:r w:rsidRPr="00F76615">
        <w:rPr>
          <w:rFonts w:ascii="Cambria Math" w:eastAsia="TimesNewRoman" w:hAnsi="Cambria Math" w:cs="Cambria Math"/>
          <w:sz w:val="24"/>
          <w:szCs w:val="24"/>
        </w:rPr>
        <w:t>≫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 secondo San Paolo.</w:t>
      </w:r>
    </w:p>
    <w:p w14:paraId="4403B57C" w14:textId="0DBAF591" w:rsidR="000162E1" w:rsidRPr="00F76615" w:rsidRDefault="000162E1" w:rsidP="00923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4. </w:t>
      </w:r>
      <w:r w:rsidRPr="00F76615">
        <w:rPr>
          <w:rFonts w:ascii="Times New Roman" w:eastAsia="TimesNewRoman" w:hAnsi="Times New Roman" w:cs="Times New Roman"/>
          <w:b/>
          <w:bCs/>
          <w:sz w:val="24"/>
          <w:szCs w:val="24"/>
        </w:rPr>
        <w:t>Ecclesiologia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. Relazione “Regno di Dio – Chiesa – Mondo”. La Chiesa come </w:t>
      </w:r>
      <w:r w:rsidRPr="00F76615">
        <w:rPr>
          <w:rFonts w:ascii="Cambria Math" w:eastAsia="TimesNewRoman" w:hAnsi="Cambria Math" w:cs="Cambria Math"/>
          <w:sz w:val="24"/>
          <w:szCs w:val="24"/>
        </w:rPr>
        <w:t>≪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>sacramento universale di salvezza</w:t>
      </w:r>
      <w:r w:rsidRPr="00F76615">
        <w:rPr>
          <w:rFonts w:ascii="Cambria Math" w:eastAsia="TimesNewRoman" w:hAnsi="Cambria Math" w:cs="Cambria Math"/>
          <w:sz w:val="24"/>
          <w:szCs w:val="24"/>
        </w:rPr>
        <w:t>≫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 (LG 48). Le quattro </w:t>
      </w:r>
      <w:r w:rsidRPr="00F76615">
        <w:rPr>
          <w:rFonts w:ascii="Times New Roman" w:eastAsia="TimesNewRoman" w:hAnsi="Times New Roman" w:cs="Times New Roman"/>
          <w:i/>
          <w:iCs/>
          <w:sz w:val="24"/>
          <w:szCs w:val="24"/>
        </w:rPr>
        <w:t>notae ecclesiae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. Necessita della chiesa per la salvezza (LG 14; </w:t>
      </w:r>
      <w:r w:rsidRPr="00F76615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Dominus Jesus 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IV). Chiesa come popolo di Dio e corpo mistico di Cristo. Ecclesiologia di comunione e vincoli giuridici. La Chiesa di Cristo </w:t>
      </w:r>
      <w:r w:rsidRPr="00F76615">
        <w:rPr>
          <w:rFonts w:ascii="Cambria Math" w:eastAsia="TimesNewRoman" w:hAnsi="Cambria Math" w:cs="Cambria Math"/>
          <w:sz w:val="24"/>
          <w:szCs w:val="24"/>
        </w:rPr>
        <w:t>≪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>sussiste nella [</w:t>
      </w:r>
      <w:r w:rsidRPr="00F76615">
        <w:rPr>
          <w:rFonts w:ascii="Times New Roman" w:eastAsia="TimesNewRoman" w:hAnsi="Times New Roman" w:cs="Times New Roman"/>
          <w:i/>
          <w:iCs/>
          <w:sz w:val="24"/>
          <w:szCs w:val="24"/>
        </w:rPr>
        <w:t>subsistit in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>] Chiesa cattolica</w:t>
      </w:r>
      <w:r w:rsidRPr="00F76615">
        <w:rPr>
          <w:rFonts w:ascii="Cambria Math" w:eastAsia="TimesNewRoman" w:hAnsi="Cambria Math" w:cs="Cambria Math"/>
          <w:sz w:val="24"/>
          <w:szCs w:val="24"/>
        </w:rPr>
        <w:t>≫</w:t>
      </w:r>
    </w:p>
    <w:p w14:paraId="4BC3284E" w14:textId="2FCA17DB" w:rsidR="000162E1" w:rsidRPr="00F76615" w:rsidRDefault="000162E1" w:rsidP="00923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sz w:val="24"/>
          <w:szCs w:val="24"/>
        </w:rPr>
        <w:t>(LG 8): significato dell’espressione. Chiese e comunita ecclesiali non in piena comunione con Roma. Ecumenismo: origini e importanza. Maria figura della Chiesa.</w:t>
      </w:r>
    </w:p>
    <w:p w14:paraId="18EE0D75" w14:textId="77777777" w:rsidR="000162E1" w:rsidRPr="00F76615" w:rsidRDefault="000162E1" w:rsidP="00923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5. </w:t>
      </w:r>
      <w:r w:rsidRPr="00F76615">
        <w:rPr>
          <w:rFonts w:ascii="Times New Roman" w:eastAsia="TimesNewRoman" w:hAnsi="Times New Roman" w:cs="Times New Roman"/>
          <w:b/>
          <w:bCs/>
          <w:sz w:val="24"/>
          <w:szCs w:val="24"/>
        </w:rPr>
        <w:t>Sacramenti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>. Sacramenti come azioni simboliche efficaci; teologia dei misteri (O. Casel).</w:t>
      </w:r>
    </w:p>
    <w:p w14:paraId="7F87022A" w14:textId="77777777" w:rsidR="000162E1" w:rsidRPr="00F76615" w:rsidRDefault="000162E1" w:rsidP="00923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sz w:val="24"/>
          <w:szCs w:val="24"/>
        </w:rPr>
        <w:t>L’iniziazione cristiana nei primi secoli. Battesimo e confermazione: effetti, nesso reciproco.</w:t>
      </w:r>
    </w:p>
    <w:p w14:paraId="1A171137" w14:textId="5200DCBD" w:rsidR="000162E1" w:rsidRPr="00F76615" w:rsidRDefault="000162E1" w:rsidP="00923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sz w:val="24"/>
          <w:szCs w:val="24"/>
        </w:rPr>
        <w:t>Eucaristia: sacrificio, banchetto di comunione, presenza reale e transustanziazione. Penitenza e unzione: elementi biblici, storici e sistematici. Sacramenti a servizio della comunione: ordine e matrimonio. Sacerdozio comune e ministeriale. Matrimonio e indissolubilita: elementi biblici e dottrina cattolica.</w:t>
      </w:r>
    </w:p>
    <w:p w14:paraId="0F4F74EB" w14:textId="53B82327" w:rsidR="000162E1" w:rsidRPr="00F76615" w:rsidRDefault="000162E1" w:rsidP="00923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6. </w:t>
      </w:r>
      <w:r w:rsidRPr="00F76615">
        <w:rPr>
          <w:rFonts w:ascii="Times New Roman" w:eastAsia="TimesNewRoman" w:hAnsi="Times New Roman" w:cs="Times New Roman"/>
          <w:b/>
          <w:bCs/>
          <w:sz w:val="24"/>
          <w:szCs w:val="24"/>
        </w:rPr>
        <w:t>Escatologia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>. L’attesa escatologica nei sinottici e l’escatologia realizzata del Quarto Vangelo. La morte. Giudizio particolare e finale; la resurrezione della carne. Paradiso, inferno, purgatorio: cosa dice davvero il dogma? Dottrina del limbo. La salvezza dei non battezzati. Escatologia finale ed escatologia intermedia.</w:t>
      </w:r>
    </w:p>
    <w:p w14:paraId="5517ACD1" w14:textId="3849D6E1" w:rsidR="000162E1" w:rsidRPr="00F76615" w:rsidRDefault="000162E1" w:rsidP="00923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7. </w:t>
      </w:r>
      <w:r w:rsidRPr="00F76615">
        <w:rPr>
          <w:rFonts w:ascii="Times New Roman" w:eastAsia="TimesNewRoman" w:hAnsi="Times New Roman" w:cs="Times New Roman"/>
          <w:b/>
          <w:bCs/>
          <w:sz w:val="24"/>
          <w:szCs w:val="24"/>
        </w:rPr>
        <w:t>Liturgia e preghiera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>. Feste ebraiche e feste cristiane. Struttura e teologia dell</w:t>
      </w:r>
      <w:r w:rsidR="009233BC">
        <w:rPr>
          <w:rFonts w:ascii="Times New Roman" w:eastAsia="TimesNewRoman" w:hAnsi="Times New Roman" w:cs="Times New Roman"/>
          <w:sz w:val="24"/>
          <w:szCs w:val="24"/>
        </w:rPr>
        <w:t>’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>anno liturgico. La liturgia delle ore. Preghiera cristiana e meditazione orientale: convergenze e divergenze.</w:t>
      </w:r>
    </w:p>
    <w:p w14:paraId="084DC18B" w14:textId="77777777" w:rsidR="000162E1" w:rsidRPr="00F76615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b/>
          <w:bCs/>
          <w:sz w:val="24"/>
          <w:szCs w:val="24"/>
        </w:rPr>
        <w:t>Letture complementari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>:</w:t>
      </w:r>
    </w:p>
    <w:p w14:paraId="2A06AF63" w14:textId="77777777" w:rsidR="000162E1" w:rsidRPr="00F76615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GIOVANNI PAOLO II, </w:t>
      </w:r>
      <w:r w:rsidRPr="00F76615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Redemptoris missio 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(1990); BENEDETTO XVI, </w:t>
      </w:r>
      <w:r w:rsidRPr="00F76615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Deus caritas est 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>(2005);</w:t>
      </w:r>
    </w:p>
    <w:p w14:paraId="5D834427" w14:textId="77777777" w:rsidR="000162E1" w:rsidRPr="00F76615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sz w:val="24"/>
          <w:szCs w:val="24"/>
        </w:rPr>
        <w:t xml:space="preserve">COMMISSIONE TEOLOGICA INTERNAZIONALE, </w:t>
      </w:r>
      <w:r w:rsidRPr="00F76615">
        <w:rPr>
          <w:rFonts w:ascii="Times New Roman" w:eastAsia="TimesNewRoman" w:hAnsi="Times New Roman" w:cs="Times New Roman"/>
          <w:i/>
          <w:iCs/>
          <w:sz w:val="24"/>
          <w:szCs w:val="24"/>
        </w:rPr>
        <w:t>La teologia oggi: prospettive, princìpi e</w:t>
      </w:r>
    </w:p>
    <w:p w14:paraId="0FDA682F" w14:textId="03C552BA" w:rsidR="000162E1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6615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criteri </w:t>
      </w:r>
      <w:r w:rsidRPr="00F76615">
        <w:rPr>
          <w:rFonts w:ascii="Times New Roman" w:eastAsia="TimesNewRoman" w:hAnsi="Times New Roman" w:cs="Times New Roman"/>
          <w:sz w:val="24"/>
          <w:szCs w:val="24"/>
        </w:rPr>
        <w:t>(2012). PAPA FRANCESCO: Encicliche</w:t>
      </w:r>
    </w:p>
    <w:p w14:paraId="44036D01" w14:textId="77777777" w:rsidR="009233BC" w:rsidRPr="00F76615" w:rsidRDefault="009233BC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48DB88A6" w14:textId="77777777" w:rsidR="000162E1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NewRoman" w:hAnsi="TimesNewRoman,Bold" w:cs="TimesNewRoman,Bold"/>
          <w:b/>
          <w:bCs/>
          <w:sz w:val="28"/>
          <w:szCs w:val="28"/>
        </w:rPr>
      </w:pPr>
      <w:r>
        <w:rPr>
          <w:rFonts w:ascii="TimesNewRoman,Bold" w:eastAsia="TimesNewRoman" w:hAnsi="TimesNewRoman,Bold" w:cs="TimesNewRoman,Bold"/>
          <w:b/>
          <w:bCs/>
          <w:sz w:val="28"/>
          <w:szCs w:val="28"/>
        </w:rPr>
        <w:t>4 Teologia morale</w:t>
      </w:r>
    </w:p>
    <w:p w14:paraId="29161D46" w14:textId="77777777" w:rsidR="000162E1" w:rsidRPr="00514CD5" w:rsidRDefault="000162E1" w:rsidP="00514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14CD5">
        <w:rPr>
          <w:rFonts w:ascii="Times New Roman" w:eastAsia="TimesNewRoman" w:hAnsi="Times New Roman" w:cs="Times New Roman"/>
          <w:sz w:val="24"/>
          <w:szCs w:val="24"/>
        </w:rPr>
        <w:t xml:space="preserve">1. </w:t>
      </w:r>
      <w:r w:rsidRPr="00514CD5">
        <w:rPr>
          <w:rFonts w:ascii="Times New Roman" w:eastAsia="TimesNewRoman" w:hAnsi="Times New Roman" w:cs="Times New Roman"/>
          <w:b/>
          <w:bCs/>
          <w:sz w:val="24"/>
          <w:szCs w:val="24"/>
        </w:rPr>
        <w:t>Morale fondamentale</w:t>
      </w:r>
      <w:r w:rsidRPr="00514CD5">
        <w:rPr>
          <w:rFonts w:ascii="Times New Roman" w:eastAsia="TimesNewRoman" w:hAnsi="Times New Roman" w:cs="Times New Roman"/>
          <w:sz w:val="24"/>
          <w:szCs w:val="24"/>
        </w:rPr>
        <w:t>. Specificita della morale cristiana. Possibilita e validita di un’etica laica.</w:t>
      </w:r>
    </w:p>
    <w:p w14:paraId="78677124" w14:textId="30CBCBBB" w:rsidR="000162E1" w:rsidRPr="00514CD5" w:rsidRDefault="000162E1" w:rsidP="00514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14CD5">
        <w:rPr>
          <w:rFonts w:ascii="Times New Roman" w:eastAsia="TimesNewRoman" w:hAnsi="Times New Roman" w:cs="Times New Roman"/>
          <w:sz w:val="24"/>
          <w:szCs w:val="24"/>
        </w:rPr>
        <w:t>Eteronomia, autonomia e teonomia della morale. La legge morale naturale: nozione, rapporto con le diverse culture; relativismo morale. Norma e coscienza; l’obiezione di coscienza. Le fonti della moralita. Il compromesso in campo etico e la cooperazione al male.</w:t>
      </w:r>
    </w:p>
    <w:p w14:paraId="5A5C5138" w14:textId="21C6CECD" w:rsidR="000162E1" w:rsidRPr="00514CD5" w:rsidRDefault="000162E1" w:rsidP="00514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14CD5">
        <w:rPr>
          <w:rFonts w:ascii="Times New Roman" w:eastAsia="TimesNewRoman" w:hAnsi="Times New Roman" w:cs="Times New Roman"/>
          <w:sz w:val="24"/>
          <w:szCs w:val="24"/>
        </w:rPr>
        <w:t xml:space="preserve">2. </w:t>
      </w:r>
      <w:r w:rsidRPr="00514CD5">
        <w:rPr>
          <w:rFonts w:ascii="Times New Roman" w:eastAsia="TimesNewRoman" w:hAnsi="Times New Roman" w:cs="Times New Roman"/>
          <w:b/>
          <w:bCs/>
          <w:sz w:val="24"/>
          <w:szCs w:val="24"/>
        </w:rPr>
        <w:t>Morale della vita e bioetica</w:t>
      </w:r>
      <w:r w:rsidRPr="00514CD5">
        <w:rPr>
          <w:rFonts w:ascii="Times New Roman" w:eastAsia="TimesNewRoman" w:hAnsi="Times New Roman" w:cs="Times New Roman"/>
          <w:sz w:val="24"/>
          <w:szCs w:val="24"/>
        </w:rPr>
        <w:t>. Il valore della vita umana. La pena di morte: evoluzione della dottrina. Lo statuto dell’embrione e la problematica dell’aborto. L’eutanasia. Dottrina della guerra giusta. Le tecniche artificiali di procreazione: criteri di valutazione etica; informazioni generali sulla legislazione italiana ed europea. L’eugenetica.</w:t>
      </w:r>
    </w:p>
    <w:p w14:paraId="24FCBC95" w14:textId="6DDAE156" w:rsidR="000162E1" w:rsidRPr="00514CD5" w:rsidRDefault="000162E1" w:rsidP="00514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14CD5">
        <w:rPr>
          <w:rFonts w:ascii="Times New Roman" w:eastAsia="TimesNewRoman" w:hAnsi="Times New Roman" w:cs="Times New Roman"/>
          <w:sz w:val="24"/>
          <w:szCs w:val="24"/>
        </w:rPr>
        <w:t xml:space="preserve">3. </w:t>
      </w:r>
      <w:r w:rsidRPr="00514CD5">
        <w:rPr>
          <w:rFonts w:ascii="Times New Roman" w:eastAsia="TimesNewRoman" w:hAnsi="Times New Roman" w:cs="Times New Roman"/>
          <w:b/>
          <w:bCs/>
          <w:sz w:val="24"/>
          <w:szCs w:val="24"/>
        </w:rPr>
        <w:t>Morale sessuale</w:t>
      </w:r>
      <w:r w:rsidRPr="00514CD5">
        <w:rPr>
          <w:rFonts w:ascii="Times New Roman" w:eastAsia="TimesNewRoman" w:hAnsi="Times New Roman" w:cs="Times New Roman"/>
          <w:sz w:val="24"/>
          <w:szCs w:val="24"/>
        </w:rPr>
        <w:t>. Approcci etici, psicologici, sociologici: valore dell’insegnamento cattolico nella societa secolarizzata.</w:t>
      </w:r>
    </w:p>
    <w:p w14:paraId="0EDB576E" w14:textId="77777777" w:rsidR="000162E1" w:rsidRPr="00514CD5" w:rsidRDefault="000162E1" w:rsidP="00514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14CD5">
        <w:rPr>
          <w:rFonts w:ascii="Times New Roman" w:eastAsia="TimesNewRoman" w:hAnsi="Times New Roman" w:cs="Times New Roman"/>
          <w:sz w:val="24"/>
          <w:szCs w:val="24"/>
        </w:rPr>
        <w:t xml:space="preserve">4. </w:t>
      </w:r>
      <w:r w:rsidRPr="00514CD5">
        <w:rPr>
          <w:rFonts w:ascii="Times New Roman" w:eastAsia="TimesNewRoman" w:hAnsi="Times New Roman" w:cs="Times New Roman"/>
          <w:b/>
          <w:bCs/>
          <w:sz w:val="24"/>
          <w:szCs w:val="24"/>
        </w:rPr>
        <w:t>Morale sociale</w:t>
      </w:r>
      <w:r w:rsidRPr="00514CD5">
        <w:rPr>
          <w:rFonts w:ascii="Times New Roman" w:eastAsia="TimesNewRoman" w:hAnsi="Times New Roman" w:cs="Times New Roman"/>
          <w:sz w:val="24"/>
          <w:szCs w:val="24"/>
        </w:rPr>
        <w:t xml:space="preserve">. Cenni di storia della dottrina sociale dalla </w:t>
      </w:r>
      <w:r w:rsidRPr="00514CD5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Rerum novarum </w:t>
      </w:r>
      <w:r w:rsidRPr="00514CD5">
        <w:rPr>
          <w:rFonts w:ascii="Times New Roman" w:eastAsia="TimesNewRoman" w:hAnsi="Times New Roman" w:cs="Times New Roman"/>
          <w:sz w:val="24"/>
          <w:szCs w:val="24"/>
        </w:rPr>
        <w:t>ad oggi. Etica</w:t>
      </w:r>
    </w:p>
    <w:p w14:paraId="0FB5CC63" w14:textId="77777777" w:rsidR="000162E1" w:rsidRPr="00514CD5" w:rsidRDefault="000162E1" w:rsidP="00514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14CD5">
        <w:rPr>
          <w:rFonts w:ascii="Times New Roman" w:eastAsia="TimesNewRoman" w:hAnsi="Times New Roman" w:cs="Times New Roman"/>
          <w:sz w:val="24"/>
          <w:szCs w:val="24"/>
        </w:rPr>
        <w:t>ecologica: sviluppo sostenibile e degrado ambientale. Pace, giustizia e carita.</w:t>
      </w:r>
    </w:p>
    <w:p w14:paraId="4C6EB8FF" w14:textId="77777777" w:rsidR="000162E1" w:rsidRPr="00514CD5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14CD5">
        <w:rPr>
          <w:rFonts w:ascii="Times New Roman" w:eastAsia="TimesNewRoman" w:hAnsi="Times New Roman" w:cs="Times New Roman"/>
          <w:b/>
          <w:bCs/>
          <w:sz w:val="24"/>
          <w:szCs w:val="24"/>
        </w:rPr>
        <w:t>Letture complementari</w:t>
      </w:r>
      <w:r w:rsidRPr="00514CD5">
        <w:rPr>
          <w:rFonts w:ascii="Times New Roman" w:eastAsia="TimesNewRoman" w:hAnsi="Times New Roman" w:cs="Times New Roman"/>
          <w:sz w:val="24"/>
          <w:szCs w:val="24"/>
        </w:rPr>
        <w:t>:</w:t>
      </w:r>
    </w:p>
    <w:p w14:paraId="1AF1D510" w14:textId="7A17E33E" w:rsidR="000162E1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14CD5">
        <w:rPr>
          <w:rFonts w:ascii="Times New Roman" w:eastAsia="TimesNewRoman" w:hAnsi="Times New Roman" w:cs="Times New Roman"/>
          <w:sz w:val="24"/>
          <w:szCs w:val="24"/>
        </w:rPr>
        <w:t xml:space="preserve">PONTIFICIO CONSIGLIO DELLA GIUSTIZIA E DELLA PACE, </w:t>
      </w:r>
      <w:r w:rsidRPr="00514CD5">
        <w:rPr>
          <w:rFonts w:ascii="Times New Roman" w:eastAsia="TimesNewRoman" w:hAnsi="Times New Roman" w:cs="Times New Roman"/>
          <w:i/>
          <w:iCs/>
          <w:sz w:val="24"/>
          <w:szCs w:val="24"/>
        </w:rPr>
        <w:t>Compendio della Dottrina Sociale</w:t>
      </w:r>
      <w:r w:rsidR="00B81F2F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Pr="00514CD5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della Chiesa </w:t>
      </w:r>
      <w:r w:rsidRPr="00514CD5">
        <w:rPr>
          <w:rFonts w:ascii="Times New Roman" w:eastAsia="TimesNewRoman" w:hAnsi="Times New Roman" w:cs="Times New Roman"/>
          <w:sz w:val="24"/>
          <w:szCs w:val="24"/>
        </w:rPr>
        <w:t>(2004).</w:t>
      </w:r>
    </w:p>
    <w:p w14:paraId="0175CC4B" w14:textId="77777777" w:rsidR="00B81F2F" w:rsidRPr="00514CD5" w:rsidRDefault="00B81F2F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4A8783BB" w14:textId="77777777" w:rsidR="000162E1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NewRoman" w:hAnsi="TimesNewRoman,Bold" w:cs="TimesNewRoman,Bold"/>
          <w:b/>
          <w:bCs/>
          <w:sz w:val="28"/>
          <w:szCs w:val="28"/>
        </w:rPr>
      </w:pPr>
      <w:r>
        <w:rPr>
          <w:rFonts w:ascii="TimesNewRoman,Bold" w:eastAsia="TimesNewRoman" w:hAnsi="TimesNewRoman,Bold" w:cs="TimesNewRoman,Bold"/>
          <w:b/>
          <w:bCs/>
          <w:sz w:val="28"/>
          <w:szCs w:val="28"/>
        </w:rPr>
        <w:t>5. Storia della chiesa e della teologia</w:t>
      </w:r>
    </w:p>
    <w:p w14:paraId="555A5133" w14:textId="0204149D" w:rsidR="000162E1" w:rsidRPr="00B81F2F" w:rsidRDefault="000162E1" w:rsidP="00B81F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81F2F">
        <w:rPr>
          <w:rFonts w:ascii="Times New Roman" w:eastAsia="TimesNewRoman" w:hAnsi="Times New Roman" w:cs="Times New Roman"/>
          <w:sz w:val="24"/>
          <w:szCs w:val="24"/>
        </w:rPr>
        <w:t xml:space="preserve">1. </w:t>
      </w:r>
      <w:r w:rsidRPr="00B81F2F">
        <w:rPr>
          <w:rFonts w:ascii="Times New Roman" w:eastAsia="TimesNewRoman" w:hAnsi="Times New Roman" w:cs="Times New Roman"/>
          <w:b/>
          <w:bCs/>
          <w:sz w:val="24"/>
          <w:szCs w:val="24"/>
        </w:rPr>
        <w:t>I primi secoli</w:t>
      </w:r>
      <w:r w:rsidRPr="00B81F2F">
        <w:rPr>
          <w:rFonts w:ascii="Times New Roman" w:eastAsia="TimesNewRoman" w:hAnsi="Times New Roman" w:cs="Times New Roman"/>
          <w:sz w:val="24"/>
          <w:szCs w:val="24"/>
        </w:rPr>
        <w:t>. Affermazione graduale del cristianesimo. Lo gnosticismo. Ellenizzazione del cristianesimo? Le grandi eresie trinitarie e cristologiche. I quattro grandi concili ecumenici.</w:t>
      </w:r>
    </w:p>
    <w:p w14:paraId="653771B9" w14:textId="2FE45580" w:rsidR="000162E1" w:rsidRPr="00B81F2F" w:rsidRDefault="000162E1" w:rsidP="00B81F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81F2F">
        <w:rPr>
          <w:rFonts w:ascii="Times New Roman" w:eastAsia="TimesNewRoman" w:hAnsi="Times New Roman" w:cs="Times New Roman"/>
          <w:sz w:val="24"/>
          <w:szCs w:val="24"/>
        </w:rPr>
        <w:t>Persecuzione e tolleranza tra leggenda e realta: dalle grandi persecuzioni agli editti di Milano (313 d.C.) e Tessalonica (380 d.C.); il cristianesimo religione dell’impero. Principali padri greci e latini; teologia cristiana e filosofia pagana. La prima arte cristiana: dalle catacombe alle basiliche.</w:t>
      </w:r>
    </w:p>
    <w:p w14:paraId="5ADB83FC" w14:textId="6F2A8F24" w:rsidR="000162E1" w:rsidRPr="00B81F2F" w:rsidRDefault="000162E1" w:rsidP="00B81F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81F2F">
        <w:rPr>
          <w:rFonts w:ascii="Times New Roman" w:eastAsia="TimesNewRoman" w:hAnsi="Times New Roman" w:cs="Times New Roman"/>
          <w:sz w:val="24"/>
          <w:szCs w:val="24"/>
        </w:rPr>
        <w:t xml:space="preserve">2. </w:t>
      </w:r>
      <w:r w:rsidRPr="00B81F2F">
        <w:rPr>
          <w:rFonts w:ascii="Times New Roman" w:eastAsia="TimesNewRoman" w:hAnsi="Times New Roman" w:cs="Times New Roman"/>
          <w:b/>
          <w:bCs/>
          <w:sz w:val="24"/>
          <w:szCs w:val="24"/>
        </w:rPr>
        <w:t>Dall’antichità al medioevo</w:t>
      </w:r>
      <w:r w:rsidRPr="00B81F2F">
        <w:rPr>
          <w:rFonts w:ascii="Times New Roman" w:eastAsia="TimesNewRoman" w:hAnsi="Times New Roman" w:cs="Times New Roman"/>
          <w:sz w:val="24"/>
          <w:szCs w:val="24"/>
        </w:rPr>
        <w:t xml:space="preserve">. Il monachesimo: formazione e importanza storica. </w:t>
      </w:r>
      <w:r w:rsidR="00B81F2F" w:rsidRPr="00B81F2F">
        <w:rPr>
          <w:rFonts w:ascii="Times New Roman" w:eastAsia="TimesNewRoman" w:hAnsi="Times New Roman" w:cs="Times New Roman"/>
          <w:sz w:val="24"/>
          <w:szCs w:val="24"/>
        </w:rPr>
        <w:t>Cristianità</w:t>
      </w:r>
      <w:r w:rsidRPr="00B81F2F">
        <w:rPr>
          <w:rFonts w:ascii="Times New Roman" w:eastAsia="TimesNewRoman" w:hAnsi="Times New Roman" w:cs="Times New Roman"/>
          <w:sz w:val="24"/>
          <w:szCs w:val="24"/>
        </w:rPr>
        <w:t xml:space="preserve"> bizantina e lotta iconoclasta. L’evangelizzazione del Nord Europa. Nascita dello stato pontificio e Donazione costantiniana. Lotta per le investiture. Le crociate: valutazione critica. Eresie medievali e loro repressione. Le leggende esoteriche tornate di </w:t>
      </w:r>
      <w:r w:rsidR="00B81F2F" w:rsidRPr="00B81F2F">
        <w:rPr>
          <w:rFonts w:ascii="Times New Roman" w:eastAsia="TimesNewRoman" w:hAnsi="Times New Roman" w:cs="Times New Roman"/>
          <w:sz w:val="24"/>
          <w:szCs w:val="24"/>
        </w:rPr>
        <w:t>attualità</w:t>
      </w:r>
      <w:r w:rsidRPr="00B81F2F">
        <w:rPr>
          <w:rFonts w:ascii="Times New Roman" w:eastAsia="TimesNewRoman" w:hAnsi="Times New Roman" w:cs="Times New Roman"/>
          <w:sz w:val="24"/>
          <w:szCs w:val="24"/>
        </w:rPr>
        <w:t xml:space="preserve">: il </w:t>
      </w:r>
      <w:r w:rsidRPr="00B81F2F">
        <w:rPr>
          <w:rFonts w:ascii="Times New Roman" w:eastAsia="TimesNewRoman" w:hAnsi="Times New Roman" w:cs="Times New Roman"/>
          <w:i/>
          <w:iCs/>
          <w:sz w:val="24"/>
          <w:szCs w:val="24"/>
        </w:rPr>
        <w:t>Graal</w:t>
      </w:r>
      <w:r w:rsidRPr="00B81F2F">
        <w:rPr>
          <w:rFonts w:ascii="Times New Roman" w:eastAsia="TimesNewRoman" w:hAnsi="Times New Roman" w:cs="Times New Roman"/>
          <w:sz w:val="24"/>
          <w:szCs w:val="24"/>
        </w:rPr>
        <w:t xml:space="preserve">, i templari, ecc. Il pensiero </w:t>
      </w:r>
      <w:r w:rsidRPr="00B81F2F">
        <w:rPr>
          <w:rFonts w:ascii="Times New Roman" w:eastAsia="TimesNewRoman" w:hAnsi="Times New Roman" w:cs="Times New Roman"/>
          <w:sz w:val="24"/>
          <w:szCs w:val="24"/>
        </w:rPr>
        <w:lastRenderedPageBreak/>
        <w:t>teocratico. Il filone teologico-platonico-agostiniano e quello aristotelico-tomista: intersezioni e divergenze. La grande sintesi filosofico-teologica della Scolastica. Cattedrali, monasteri e altre creazioni dell’arte medievale. I pellegrinaggi e l’istituto del giubileo.</w:t>
      </w:r>
    </w:p>
    <w:p w14:paraId="1641BBA8" w14:textId="42292770" w:rsidR="000162E1" w:rsidRPr="00B81F2F" w:rsidRDefault="000162E1" w:rsidP="00B81F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81F2F">
        <w:rPr>
          <w:rFonts w:ascii="Times New Roman" w:eastAsia="TimesNewRoman" w:hAnsi="Times New Roman" w:cs="Times New Roman"/>
          <w:sz w:val="24"/>
          <w:szCs w:val="24"/>
        </w:rPr>
        <w:t xml:space="preserve">3. </w:t>
      </w:r>
      <w:r w:rsidRPr="00B81F2F">
        <w:rPr>
          <w:rFonts w:ascii="Times New Roman" w:eastAsia="TimesNewRoman" w:hAnsi="Times New Roman" w:cs="Times New Roman"/>
          <w:b/>
          <w:bCs/>
          <w:sz w:val="24"/>
          <w:szCs w:val="24"/>
        </w:rPr>
        <w:t>La nuova cristianità</w:t>
      </w:r>
      <w:r w:rsidRPr="00B81F2F">
        <w:rPr>
          <w:rFonts w:ascii="Times New Roman" w:eastAsia="TimesNewRoman" w:hAnsi="Times New Roman" w:cs="Times New Roman"/>
          <w:sz w:val="24"/>
          <w:szCs w:val="24"/>
        </w:rPr>
        <w:t xml:space="preserve">. Gli scismi d’oriente e d’occidente: nuova comprensione della Chiesa. Gli ordini mendicanti. Papato rinascimentale e progetti di riforma: giudizio storico ponderato. Riforma protestante e (controriforma cattolica: tra </w:t>
      </w:r>
      <w:r w:rsidRPr="00B81F2F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sola scriptura </w:t>
      </w:r>
      <w:r w:rsidRPr="00B81F2F">
        <w:rPr>
          <w:rFonts w:ascii="Times New Roman" w:eastAsia="TimesNewRoman" w:hAnsi="Times New Roman" w:cs="Times New Roman"/>
          <w:sz w:val="24"/>
          <w:szCs w:val="24"/>
        </w:rPr>
        <w:t xml:space="preserve">e primato dei sacramenti. Le guerre di religione e la tolleranza. L’inquisizione tra mito e </w:t>
      </w:r>
      <w:r w:rsidR="00B81F2F" w:rsidRPr="00B81F2F">
        <w:rPr>
          <w:rFonts w:ascii="Times New Roman" w:eastAsia="TimesNewRoman" w:hAnsi="Times New Roman" w:cs="Times New Roman"/>
          <w:sz w:val="24"/>
          <w:szCs w:val="24"/>
        </w:rPr>
        <w:t>realtà</w:t>
      </w:r>
      <w:r w:rsidRPr="00B81F2F">
        <w:rPr>
          <w:rFonts w:ascii="Times New Roman" w:eastAsia="TimesNewRoman" w:hAnsi="Times New Roman" w:cs="Times New Roman"/>
          <w:sz w:val="24"/>
          <w:szCs w:val="24"/>
        </w:rPr>
        <w:t>. Le missioni moderne: evangelizzazione e colonizzazione (es: America Latina); inculturazione e diritti umani (es. Cina). Il caso Galileo.</w:t>
      </w:r>
    </w:p>
    <w:p w14:paraId="1BCC2C5B" w14:textId="33321737" w:rsidR="000162E1" w:rsidRPr="00B81F2F" w:rsidRDefault="000162E1" w:rsidP="00B81F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81F2F">
        <w:rPr>
          <w:rFonts w:ascii="Times New Roman" w:eastAsia="TimesNewRoman" w:hAnsi="Times New Roman" w:cs="Times New Roman"/>
          <w:sz w:val="24"/>
          <w:szCs w:val="24"/>
        </w:rPr>
        <w:t xml:space="preserve">4. </w:t>
      </w:r>
      <w:r w:rsidRPr="00B81F2F">
        <w:rPr>
          <w:rFonts w:ascii="Times New Roman" w:eastAsia="TimesNewRoman" w:hAnsi="Times New Roman" w:cs="Times New Roman"/>
          <w:b/>
          <w:bCs/>
          <w:sz w:val="24"/>
          <w:szCs w:val="24"/>
        </w:rPr>
        <w:t>La modernità e postmodernità</w:t>
      </w:r>
      <w:r w:rsidRPr="00B81F2F">
        <w:rPr>
          <w:rFonts w:ascii="Times New Roman" w:eastAsia="TimesNewRoman" w:hAnsi="Times New Roman" w:cs="Times New Roman"/>
          <w:sz w:val="24"/>
          <w:szCs w:val="24"/>
        </w:rPr>
        <w:t>. La rivoluzione francese e le nuove persecuzioni. La questione sociale. Il risorgimento e la chiesa; unita d’Italia e “questione romana”. La chiesa e la modernita: conflitto e integrazione. Mondializzazione della chiesa. L’atteggiamento della Chiesa e dei cristiani di fronte al nazismo e al comunismo. Il Concilio Vaticano II e le sue ermeneutiche. Le nuove teologie: teologia della liberazione, teologia femminista, ecc.</w:t>
      </w:r>
    </w:p>
    <w:p w14:paraId="4451B4A0" w14:textId="04973BC7" w:rsidR="000162E1" w:rsidRPr="00B81F2F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 w:rsidRPr="00B81F2F">
        <w:rPr>
          <w:rFonts w:ascii="Times New Roman" w:eastAsia="TimesNewRoman" w:hAnsi="Times New Roman" w:cs="Times New Roman"/>
          <w:b/>
          <w:bCs/>
          <w:sz w:val="24"/>
          <w:szCs w:val="24"/>
        </w:rPr>
        <w:t>Letture complementari</w:t>
      </w:r>
      <w:r w:rsidRPr="00B81F2F">
        <w:rPr>
          <w:rFonts w:ascii="Times New Roman" w:eastAsia="TimesNewRoman" w:hAnsi="Times New Roman" w:cs="Times New Roman"/>
          <w:sz w:val="24"/>
          <w:szCs w:val="24"/>
        </w:rPr>
        <w:t xml:space="preserve">: COMMISSIONE TEOLOGICA INTERNAZIONALE, </w:t>
      </w:r>
      <w:r w:rsidRPr="00B81F2F">
        <w:rPr>
          <w:rFonts w:ascii="Times New Roman" w:eastAsia="TimesNewRoman" w:hAnsi="Times New Roman" w:cs="Times New Roman"/>
          <w:i/>
          <w:iCs/>
          <w:sz w:val="24"/>
          <w:szCs w:val="24"/>
        </w:rPr>
        <w:t>Memoria e</w:t>
      </w:r>
      <w:r w:rsidR="00B81F2F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Pr="00B81F2F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riconciliazione: la Chiesa e le colpe del passato </w:t>
      </w:r>
      <w:r w:rsidRPr="00B81F2F">
        <w:rPr>
          <w:rFonts w:ascii="Times New Roman" w:eastAsia="TimesNewRoman" w:hAnsi="Times New Roman" w:cs="Times New Roman"/>
          <w:sz w:val="24"/>
          <w:szCs w:val="24"/>
        </w:rPr>
        <w:t>(2000).</w:t>
      </w:r>
    </w:p>
    <w:p w14:paraId="16AA146B" w14:textId="77777777" w:rsidR="00B81F2F" w:rsidRPr="00B81F2F" w:rsidRDefault="00B81F2F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0D8B3BDE" w14:textId="77777777" w:rsidR="000162E1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NewRoman" w:hAnsi="TimesNewRoman,Bold" w:cs="TimesNewRoman,Bold"/>
          <w:b/>
          <w:bCs/>
          <w:sz w:val="28"/>
          <w:szCs w:val="28"/>
        </w:rPr>
      </w:pPr>
      <w:r>
        <w:rPr>
          <w:rFonts w:ascii="TimesNewRoman,Bold" w:eastAsia="TimesNewRoman" w:hAnsi="TimesNewRoman,Bold" w:cs="TimesNewRoman,Bold"/>
          <w:b/>
          <w:bCs/>
          <w:sz w:val="28"/>
          <w:szCs w:val="28"/>
        </w:rPr>
        <w:t>6. Elementi di teoria della scuola, psicopedagogia e didattica</w:t>
      </w:r>
    </w:p>
    <w:p w14:paraId="22114DCA" w14:textId="5B0FC7C4" w:rsidR="000162E1" w:rsidRPr="0035323E" w:rsidRDefault="000162E1" w:rsidP="00353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5323E">
        <w:rPr>
          <w:rFonts w:ascii="Times New Roman" w:eastAsia="TimesNewRoman" w:hAnsi="Times New Roman" w:cs="Times New Roman"/>
          <w:sz w:val="24"/>
          <w:szCs w:val="24"/>
        </w:rPr>
        <w:t xml:space="preserve">1. </w:t>
      </w:r>
      <w:r w:rsidRPr="0035323E">
        <w:rPr>
          <w:rFonts w:ascii="Times New Roman" w:eastAsia="TimesNewRoman" w:hAnsi="Times New Roman" w:cs="Times New Roman"/>
          <w:b/>
          <w:bCs/>
          <w:sz w:val="24"/>
          <w:szCs w:val="24"/>
        </w:rPr>
        <w:t>Psicopedagogia</w:t>
      </w:r>
      <w:r w:rsidRPr="0035323E">
        <w:rPr>
          <w:rFonts w:ascii="Times New Roman" w:eastAsia="TimesNewRoman" w:hAnsi="Times New Roman" w:cs="Times New Roman"/>
          <w:sz w:val="24"/>
          <w:szCs w:val="24"/>
        </w:rPr>
        <w:t>. Principali teorie pedagogiche. Potenziale religioso del bambino. Elementi cognitivi ed emotivi che influenzano il processo di apprendimento. La motivazione all</w:t>
      </w:r>
      <w:r w:rsidR="0035323E">
        <w:rPr>
          <w:rFonts w:ascii="Times New Roman" w:eastAsia="TimesNewRoman" w:hAnsi="Times New Roman" w:cs="Times New Roman"/>
          <w:sz w:val="24"/>
          <w:szCs w:val="24"/>
        </w:rPr>
        <w:t>’</w:t>
      </w:r>
      <w:r w:rsidRPr="0035323E">
        <w:rPr>
          <w:rFonts w:ascii="Times New Roman" w:eastAsia="TimesNewRoman" w:hAnsi="Times New Roman" w:cs="Times New Roman"/>
          <w:sz w:val="24"/>
          <w:szCs w:val="24"/>
        </w:rPr>
        <w:t>apprendimento. Educazione, formazione, istruzione nella nuova scuola. Deontologia della relazione pedagogica. Il rapporto dell</w:t>
      </w:r>
      <w:r w:rsidR="0035323E">
        <w:rPr>
          <w:rFonts w:ascii="Times New Roman" w:eastAsia="TimesNewRoman" w:hAnsi="Times New Roman" w:cs="Times New Roman"/>
          <w:sz w:val="24"/>
          <w:szCs w:val="24"/>
        </w:rPr>
        <w:t>’</w:t>
      </w:r>
      <w:r w:rsidRPr="0035323E">
        <w:rPr>
          <w:rFonts w:ascii="Times New Roman" w:eastAsia="TimesNewRoman" w:hAnsi="Times New Roman" w:cs="Times New Roman"/>
          <w:sz w:val="24"/>
          <w:szCs w:val="24"/>
        </w:rPr>
        <w:t>insegnante con le famiglie.</w:t>
      </w:r>
    </w:p>
    <w:p w14:paraId="3FBE90BE" w14:textId="52FBD5E7" w:rsidR="000162E1" w:rsidRPr="0035323E" w:rsidRDefault="000162E1" w:rsidP="00353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5323E">
        <w:rPr>
          <w:rFonts w:ascii="Times New Roman" w:eastAsia="TimesNewRoman" w:hAnsi="Times New Roman" w:cs="Times New Roman"/>
          <w:sz w:val="24"/>
          <w:szCs w:val="24"/>
        </w:rPr>
        <w:t xml:space="preserve">2. </w:t>
      </w:r>
      <w:r w:rsidRPr="0035323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Teoria della scuola e dell’IRC. </w:t>
      </w:r>
      <w:r w:rsidRPr="0035323E">
        <w:rPr>
          <w:rFonts w:ascii="Times New Roman" w:eastAsia="TimesNewRoman" w:hAnsi="Times New Roman" w:cs="Times New Roman"/>
          <w:sz w:val="24"/>
          <w:szCs w:val="24"/>
        </w:rPr>
        <w:t xml:space="preserve">Scuola, autonomia scolastica e normativa recente. Storia, evoluzione e normativa vigente dell’IRC. Idoneita all’IRC: riconoscimento, validita, revoca. 3. </w:t>
      </w:r>
      <w:r w:rsidRPr="0035323E">
        <w:rPr>
          <w:rFonts w:ascii="Times New Roman" w:eastAsia="TimesNewRoman" w:hAnsi="Times New Roman" w:cs="Times New Roman"/>
          <w:b/>
          <w:bCs/>
          <w:sz w:val="24"/>
          <w:szCs w:val="24"/>
        </w:rPr>
        <w:t>Didattica</w:t>
      </w:r>
      <w:r w:rsidRPr="0035323E">
        <w:rPr>
          <w:rFonts w:ascii="Times New Roman" w:eastAsia="TimesNewRoman" w:hAnsi="Times New Roman" w:cs="Times New Roman"/>
          <w:sz w:val="24"/>
          <w:szCs w:val="24"/>
        </w:rPr>
        <w:t>. Orientamenti pedagogici e i modelli didattici a scuola e nell’insegnamento della Religione Cattolica. Dalla scuola delle conoscenze alla scuola delle competenze. Dai programmi alle Indicazioni. Progettazione didattica e competenze. La valutazione dell’IRC. Le Indicazioni nazionali IRC per il primo ciclo (2010) e le Indicazioni e le Linee guida IRC per il secondo ciclo (2012). Il contributo peculiare dell’IRC al curricolo scolastico. L’IRC in classi multietniche e multi</w:t>
      </w:r>
    </w:p>
    <w:p w14:paraId="0CC3A38A" w14:textId="77777777" w:rsidR="000162E1" w:rsidRPr="0035323E" w:rsidRDefault="000162E1" w:rsidP="00353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5323E">
        <w:rPr>
          <w:rFonts w:ascii="Times New Roman" w:eastAsia="TimesNewRoman" w:hAnsi="Times New Roman" w:cs="Times New Roman"/>
          <w:sz w:val="24"/>
          <w:szCs w:val="24"/>
        </w:rPr>
        <w:t>religiose.</w:t>
      </w:r>
    </w:p>
    <w:p w14:paraId="4865A8CB" w14:textId="77777777" w:rsidR="000162E1" w:rsidRPr="0035323E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5323E">
        <w:rPr>
          <w:rFonts w:ascii="Times New Roman" w:eastAsia="TimesNewRoman" w:hAnsi="Times New Roman" w:cs="Times New Roman"/>
          <w:b/>
          <w:bCs/>
          <w:sz w:val="24"/>
          <w:szCs w:val="24"/>
        </w:rPr>
        <w:t>Letture complementari</w:t>
      </w:r>
      <w:r w:rsidRPr="0035323E">
        <w:rPr>
          <w:rFonts w:ascii="Times New Roman" w:eastAsia="TimesNewRoman" w:hAnsi="Times New Roman" w:cs="Times New Roman"/>
          <w:sz w:val="24"/>
          <w:szCs w:val="24"/>
        </w:rPr>
        <w:t>:</w:t>
      </w:r>
    </w:p>
    <w:p w14:paraId="7F094E68" w14:textId="77777777" w:rsidR="000162E1" w:rsidRPr="0035323E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5323E">
        <w:rPr>
          <w:rFonts w:ascii="Times New Roman" w:eastAsia="TimesNewRoman" w:hAnsi="Times New Roman" w:cs="Times New Roman"/>
          <w:sz w:val="24"/>
          <w:szCs w:val="24"/>
        </w:rPr>
        <w:t xml:space="preserve">CEI, </w:t>
      </w:r>
      <w:r w:rsidRPr="0035323E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Insegnare religione cattolica oggi </w:t>
      </w:r>
      <w:r w:rsidRPr="0035323E">
        <w:rPr>
          <w:rFonts w:ascii="Times New Roman" w:eastAsia="TimesNewRoman" w:hAnsi="Times New Roman" w:cs="Times New Roman"/>
          <w:sz w:val="24"/>
          <w:szCs w:val="24"/>
        </w:rPr>
        <w:t>(1991)</w:t>
      </w:r>
    </w:p>
    <w:p w14:paraId="4FCFE69F" w14:textId="5997B0C8" w:rsidR="000162E1" w:rsidRPr="0035323E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5323E">
        <w:rPr>
          <w:rFonts w:ascii="Times New Roman" w:eastAsia="TimesNewRoman" w:hAnsi="Times New Roman" w:cs="Times New Roman"/>
          <w:sz w:val="24"/>
          <w:szCs w:val="24"/>
        </w:rPr>
        <w:t xml:space="preserve">DPR n. 175 del 2012, </w:t>
      </w:r>
      <w:r w:rsidRPr="0035323E">
        <w:rPr>
          <w:rFonts w:ascii="Times New Roman" w:eastAsia="TimesNewRoman" w:hAnsi="Times New Roman" w:cs="Times New Roman"/>
          <w:i/>
          <w:iCs/>
          <w:sz w:val="24"/>
          <w:szCs w:val="24"/>
        </w:rPr>
        <w:t>Esecuzione dell’Intesa fra il Ministero dell’istruzione, dell’università e della ricerca e il Presidente della Conferenza episcopale italiana per l’insegnamento della religione cattolica nelle scuole pubbliche</w:t>
      </w:r>
      <w:r w:rsidRPr="0035323E">
        <w:rPr>
          <w:rFonts w:ascii="Times New Roman" w:eastAsia="TimesNewRoman" w:hAnsi="Times New Roman" w:cs="Times New Roman"/>
          <w:sz w:val="24"/>
          <w:szCs w:val="24"/>
        </w:rPr>
        <w:t xml:space="preserve">, firmata il 28 giugno 2012 DPR 11 febbraio 2010, </w:t>
      </w:r>
      <w:r w:rsidRPr="0035323E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Sulle indicazioni didattiche per l’insegnamento della religione cattolica nelle scuole dell’infanzia e del primo ciclo </w:t>
      </w:r>
      <w:r w:rsidRPr="0035323E">
        <w:rPr>
          <w:rFonts w:ascii="Times New Roman" w:eastAsia="TimesNewRoman" w:hAnsi="Times New Roman" w:cs="Times New Roman"/>
          <w:sz w:val="24"/>
          <w:szCs w:val="24"/>
        </w:rPr>
        <w:t xml:space="preserve">DPR n. 176 del 2012, </w:t>
      </w:r>
      <w:r w:rsidRPr="0035323E">
        <w:rPr>
          <w:rFonts w:ascii="Times New Roman" w:eastAsia="TimesNewRoman" w:hAnsi="Times New Roman" w:cs="Times New Roman"/>
          <w:i/>
          <w:iCs/>
          <w:sz w:val="24"/>
          <w:szCs w:val="24"/>
        </w:rPr>
        <w:t>Sulle indicazioni didattiche per l’insegnamento della religione cattolica nelle scuole del secondo ciclo di istruzione e nei percorsi di istruzione e formazione professionale</w:t>
      </w:r>
      <w:r w:rsidRPr="0035323E">
        <w:rPr>
          <w:rFonts w:ascii="Times New Roman" w:eastAsia="TimesNewRoman" w:hAnsi="Times New Roman" w:cs="Times New Roman"/>
          <w:sz w:val="24"/>
          <w:szCs w:val="24"/>
        </w:rPr>
        <w:t>, firmato il 28 giugno 2012</w:t>
      </w:r>
    </w:p>
    <w:p w14:paraId="75CF43EA" w14:textId="77777777" w:rsidR="000162E1" w:rsidRPr="0035323E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5323E">
        <w:rPr>
          <w:rFonts w:ascii="Times New Roman" w:eastAsia="TimesNewRoman" w:hAnsi="Times New Roman" w:cs="Times New Roman"/>
          <w:sz w:val="24"/>
          <w:szCs w:val="24"/>
        </w:rPr>
        <w:t>Un qualsiasi testo scolastico di IRC per l’ordine e grado adeguato alla prova che si intende svolgere</w:t>
      </w:r>
    </w:p>
    <w:p w14:paraId="2B6D6643" w14:textId="77777777" w:rsidR="000162E1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NewRoman" w:hAnsi="TimesNewRoman,Bold" w:cs="TimesNewRoman,Bold"/>
          <w:b/>
          <w:bCs/>
          <w:sz w:val="28"/>
          <w:szCs w:val="28"/>
        </w:rPr>
      </w:pPr>
      <w:r>
        <w:rPr>
          <w:rFonts w:ascii="TimesNewRoman,Bold" w:eastAsia="TimesNewRoman" w:hAnsi="TimesNewRoman,Bold" w:cs="TimesNewRoman,Bold"/>
          <w:b/>
          <w:bCs/>
          <w:sz w:val="28"/>
          <w:szCs w:val="28"/>
        </w:rPr>
        <w:lastRenderedPageBreak/>
        <w:t>Ulteriori suggerimenti e indicazioni bibliografiche per la preparazione della</w:t>
      </w:r>
    </w:p>
    <w:p w14:paraId="1EF8F4BB" w14:textId="77777777" w:rsidR="000162E1" w:rsidRDefault="000162E1" w:rsidP="000162E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NewRoman" w:hAnsi="TimesNewRoman,Bold" w:cs="TimesNewRoman,Bold"/>
          <w:b/>
          <w:bCs/>
          <w:sz w:val="28"/>
          <w:szCs w:val="28"/>
        </w:rPr>
      </w:pPr>
      <w:r>
        <w:rPr>
          <w:rFonts w:ascii="TimesNewRoman,Bold" w:eastAsia="TimesNewRoman" w:hAnsi="TimesNewRoman,Bold" w:cs="TimesNewRoman,Bold"/>
          <w:b/>
          <w:bCs/>
          <w:sz w:val="28"/>
          <w:szCs w:val="28"/>
        </w:rPr>
        <w:t>prova di idoneità</w:t>
      </w:r>
    </w:p>
    <w:p w14:paraId="498F93FD" w14:textId="7FF9F9CF" w:rsidR="000162E1" w:rsidRPr="007F750E" w:rsidRDefault="000162E1" w:rsidP="007F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1. Per la preparazione dell’esame, punto di partenza imprescindibile e la conoscenza adeguata del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Catechismo della Chiesa Cattolica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(CCC) nella sua redazione definitiva (1997). Il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Compendio del Catechismo della Chiesa Cattolica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(Ed. San Paolo, Cinisello Balsamo 2005) può essere uno strumento utile per la verifica, data la struttura didattica a domande e risposte. Come integrazione si suggerisce anche la lettura del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Catechismo degli adulti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redatto dalla Conferenza Episcopale Italiana,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La verità vi farà liberi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(Libreria Editrice Vaticana 1995), che adatta il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Catechismo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alla situazione</w:t>
      </w:r>
    </w:p>
    <w:p w14:paraId="242D3491" w14:textId="77777777" w:rsidR="000162E1" w:rsidRPr="007F750E" w:rsidRDefault="000162E1" w:rsidP="007F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750E">
        <w:rPr>
          <w:rFonts w:ascii="Times New Roman" w:eastAsia="TimesNewRoman" w:hAnsi="Times New Roman" w:cs="Times New Roman"/>
          <w:sz w:val="24"/>
          <w:szCs w:val="24"/>
        </w:rPr>
        <w:t>religiosa dell’Italia.</w:t>
      </w:r>
    </w:p>
    <w:p w14:paraId="40C21BEA" w14:textId="724F727E" w:rsidR="000162E1" w:rsidRPr="007F750E" w:rsidRDefault="000162E1" w:rsidP="007F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2. I principali testi del magistero possono essere trovati, anche in traduzione italiana, in: H. D – P. HUNERMANN,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>Enchiridion symbolorum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, EDB, Bologna 2012 (Edizione bilingue sulla 43° edizione)</w:t>
      </w:r>
      <w:r w:rsidR="007F750E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4D14A894" w14:textId="7AEEFC34" w:rsidR="000162E1" w:rsidRPr="007F750E" w:rsidRDefault="000162E1" w:rsidP="007F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3. Al livello di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>metodo di studio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, si raccomanda di consultare con attenzione il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tesario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proposto per la prova (disponibile sul sito internet e di studiare tutti gli argomenti elencati come possibile tema di esame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a partire dalle nozioni acquisite e dai testi di studio utilizzati nel corso degli studi accademici.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Qualora alcuni argomenti richiesti non fossero stati trattati negli studi universitari, la bibliografia sotto indicata consentira di trovare tutte le informazioni necessarie.</w:t>
      </w:r>
    </w:p>
    <w:p w14:paraId="48C9E092" w14:textId="4CAADCFA" w:rsidR="000162E1" w:rsidRPr="007F750E" w:rsidRDefault="000162E1" w:rsidP="007F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4. Il candidato dovra dare prova non solo di conoscere isolatamente i singoli argomenti del tesario ma anche di saper fare gli opportuni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collegamenti.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In particolare, e importante saper declinare gli argomenti nel loro sviluppo storico.</w:t>
      </w:r>
    </w:p>
    <w:p w14:paraId="6737CAB0" w14:textId="0E0675B8" w:rsidR="000162E1" w:rsidRPr="007F750E" w:rsidRDefault="000162E1" w:rsidP="007F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5. Per la preparazione della </w:t>
      </w:r>
      <w:r w:rsidRPr="007F750E">
        <w:rPr>
          <w:rFonts w:ascii="Times New Roman" w:eastAsia="TimesNewRoman" w:hAnsi="Times New Roman" w:cs="Times New Roman"/>
          <w:b/>
          <w:bCs/>
          <w:sz w:val="24"/>
          <w:szCs w:val="24"/>
        </w:rPr>
        <w:t>prima sezione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, si raccomanda in primo luogo l’uso di una buona Bibbia (ad. es.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>Bibbia di Gerusalemme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>Bibbia TOB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). La lettura delle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introduzioni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ai diversi libri biblici – in una edizione aggiornata – e la consultazione attenta delle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cartine geografiche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allegate (Vicino Oriente, Israele, Gerusalemme, viaggi paolini) puo essere un buon metodo per ripassare e organizzare la materia. Meglio una buona conoscenza dei dati fondamentali, accompagnata da una lettura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diretta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dei testi, che una scorsa veloce di tanta letteratura secondaria. La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storia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e la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geografia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bibliche possono essere utilmente approfondite su un atlante (ad es. G. PEREGO – M. CUCCA,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>Nuovo Atlante Biblico Interdisciplinare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, San Paolo, Milano 2012; G. RAVASI,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>Nuova guida alla</w:t>
      </w:r>
    </w:p>
    <w:p w14:paraId="69738F74" w14:textId="4FCBE013" w:rsidR="000162E1" w:rsidRPr="007F750E" w:rsidRDefault="000162E1" w:rsidP="007F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>Bibbia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, San Paolo, Milano 2008). Per familiarizzare con la questione sinottica e utile lavorare almeno un po’ con una sinossi (ad es. A. POPPI,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>Sinossi dei quattro Vangeli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, Padova, Messaggero, 2004). E possibile approfondire la conoscenza della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Dei Verbum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(come pure le questioni relative al canone, l’ispirazione, i generi letterari, la storia dell’interpretazione) consultando le voci relative dei piu diffusi dizionari teologici (BROWN‐FITZMYER‐MURPHY,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>Nuovo Grande Commentario Biblico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, Queriniana, Brescia 2002; ROSSANO‐RAVASI‐GIRLANDA,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Nuovo Dizionario di Teologia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lastRenderedPageBreak/>
        <w:t>Biblica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, Ed. Paoline, Cinisello Balsamo (Mi) 2001; LATOURELLE‐FISICHELLA,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>Dizionario di Teologia Fondamentale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, Cittadella, Assisi 1990).</w:t>
      </w:r>
    </w:p>
    <w:p w14:paraId="29840AA5" w14:textId="77B3D06D" w:rsidR="000162E1" w:rsidRPr="007F750E" w:rsidRDefault="000162E1" w:rsidP="007F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6. Per la preparazione della </w:t>
      </w:r>
      <w:r w:rsidRPr="007F750E">
        <w:rPr>
          <w:rFonts w:ascii="Times New Roman" w:eastAsia="TimesNewRoman" w:hAnsi="Times New Roman" w:cs="Times New Roman"/>
          <w:b/>
          <w:bCs/>
          <w:sz w:val="24"/>
          <w:szCs w:val="24"/>
        </w:rPr>
        <w:t>seconda sezione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, la consultazione del gia citato</w:t>
      </w:r>
      <w:r w:rsid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LATOURELLE‐FISICHELLA,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>Dizionario di Teologia Fondamentale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, Cittadella, Assisi 1990, e</w:t>
      </w:r>
      <w:r w:rsid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caldamente raccomandata. Il punto 2.4 merita particolare attenzione: occorre una preliminare</w:t>
      </w:r>
      <w:r w:rsidR="007F750E" w:rsidRP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conoscenza degli elementi di base delle religioni non cristiane, con particolare attenzione ad</w:t>
      </w:r>
      <w:r w:rsidR="007F750E" w:rsidRP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ebraismo ed islam; poi un corretto approccio teologico, in cui identita cristiana e dialogo siano</w:t>
      </w:r>
      <w:r w:rsidR="007F750E" w:rsidRP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adeguatamente articolati (la dichiarazione del Vaticano II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Nostra Aetate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[1965] e una lettura</w:t>
      </w:r>
      <w:r w:rsidR="007F750E" w:rsidRP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imprescindibile). Per la conoscenza delle sette e dei nuovi movimenti religiosi, oltre che delle altre</w:t>
      </w:r>
      <w:r w:rsidR="007F750E" w:rsidRP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religioni e confessioni presenti in Italia, si </w:t>
      </w:r>
      <w:r w:rsidR="007F750E" w:rsidRPr="007F750E">
        <w:rPr>
          <w:rFonts w:ascii="Times New Roman" w:eastAsia="TimesNewRoman" w:hAnsi="Times New Roman" w:cs="Times New Roman"/>
          <w:sz w:val="24"/>
          <w:szCs w:val="24"/>
        </w:rPr>
        <w:t>può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 consultare utilmente il</w:t>
      </w:r>
      <w:r w:rsidR="007F750E" w:rsidRP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sito</w:t>
      </w:r>
      <w:r w:rsid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italia</w:t>
      </w:r>
      <w:r w:rsid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www.cesnur.org/religioni</w:t>
      </w:r>
      <w:r w:rsidR="007F750E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006D8993" w14:textId="658A594B" w:rsidR="000162E1" w:rsidRPr="007F750E" w:rsidRDefault="000162E1" w:rsidP="007F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7. Per la preparazione della </w:t>
      </w:r>
      <w:r w:rsidRPr="007F750E">
        <w:rPr>
          <w:rFonts w:ascii="Times New Roman" w:eastAsia="TimesNewRoman" w:hAnsi="Times New Roman" w:cs="Times New Roman"/>
          <w:b/>
          <w:bCs/>
          <w:sz w:val="24"/>
          <w:szCs w:val="24"/>
        </w:rPr>
        <w:t>terza e quarta sezione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, il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Catechismo della Chiesa Cattolica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fa la parte</w:t>
      </w:r>
      <w:r w:rsidR="007F750E" w:rsidRP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del leone. La bibliografia sarebbe troppo vasta per poter indicare qualcosa di utile; meglio leggere</w:t>
      </w:r>
      <w:r w:rsidR="007F750E" w:rsidRP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attentamente il CCC, magari anche approfondendo i singoli temi grazie all’indice analitico,</w:t>
      </w:r>
      <w:r w:rsidR="007F750E" w:rsidRP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ripercorrendo tutti i paragrafi relativi a quell’argomento. Per eventuali approfondimenti, l’unico</w:t>
      </w:r>
      <w:r w:rsidR="007F750E" w:rsidRP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utile suggerimento possibile e l’invito a non disperdersi in letture frammentate e di poco valore e</w:t>
      </w:r>
      <w:r w:rsidR="007F750E" w:rsidRP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consultare invece i piu diffusi dizionari o enciclopedie (ad es. BARBAGLIO‐BOF‐DIANICH,</w:t>
      </w:r>
      <w:r w:rsidR="007F750E" w:rsidRP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>Teologia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, Ed. Paoline 2003). Per la preparazione sui temi recenti di morale e opportuno leggere</w:t>
      </w:r>
      <w:r w:rsidR="007F750E" w:rsidRP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soprattutto i documenti del magistre, mentre per la morale fondamentale si ritiene sufficiente la</w:t>
      </w:r>
      <w:r w:rsidR="007F750E" w:rsidRP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conoscenza del CCC.</w:t>
      </w:r>
    </w:p>
    <w:p w14:paraId="417DB6B0" w14:textId="03DBD240" w:rsidR="000162E1" w:rsidRPr="007F750E" w:rsidRDefault="000162E1" w:rsidP="007F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8. Per la preparazione della </w:t>
      </w:r>
      <w:r w:rsidRPr="007F750E">
        <w:rPr>
          <w:rFonts w:ascii="Times New Roman" w:eastAsia="TimesNewRoman" w:hAnsi="Times New Roman" w:cs="Times New Roman"/>
          <w:b/>
          <w:bCs/>
          <w:sz w:val="24"/>
          <w:szCs w:val="24"/>
        </w:rPr>
        <w:t>quinta sezione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, si puo consultare A. FRANZEN,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>Breve storia della</w:t>
      </w:r>
      <w:r w:rsidR="007F750E"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Chiesa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Queriniana, Brescia 200911. Utile l’opera divulgativa G. FILORAMO,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>Cristianesimo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,</w:t>
      </w:r>
      <w:r w:rsidR="007F750E" w:rsidRP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Mondadori‐Electa, Milano 2007, anche se l’impostazione dell’autore rende necessaria una lettura</w:t>
      </w:r>
      <w:r w:rsidR="007F750E" w:rsidRP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critica del testo. Per collegare adeguatamente la storia della chiesa con lo sviluppo del dogma, si</w:t>
      </w:r>
      <w:r w:rsidR="007F750E" w:rsidRP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consiglia H. JEDIN,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>Breve storia dei Concili. I ventuno concili ecumenici nel quadro della storia</w:t>
      </w:r>
      <w:r w:rsidR="007F750E"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>della Chiesa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, Morcelliana, Brescia 1983. E importante soprattutto avere una conoscenza critica</w:t>
      </w:r>
      <w:r w:rsidR="007F750E" w:rsidRP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delle questioni controverse (ad es. l’inquisizione, Chiesa e totalitarismi, ecc.), che da un lato eviti il</w:t>
      </w:r>
      <w:r w:rsidR="007F750E" w:rsidRP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trionfalismo ingenuo, ma dall’altro non sia succube di ricostruzioni storiografiche ideologicamente</w:t>
      </w:r>
      <w:r w:rsidR="007F750E" w:rsidRP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viziate.</w:t>
      </w:r>
    </w:p>
    <w:p w14:paraId="1C78016F" w14:textId="686751D0" w:rsidR="000162E1" w:rsidRPr="007F750E" w:rsidRDefault="000162E1" w:rsidP="007F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9. Per lo studio della </w:t>
      </w:r>
      <w:r w:rsidRPr="007F750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sesta sezione,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per gli argomenti psicopedagogici e didattici si raccomanda la</w:t>
      </w:r>
      <w:r w:rsidR="007F750E" w:rsidRP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consultazione di J. M. PRELLEZO – G. MALIZIA – C. NANNI (edd.),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>Dizionario di scienze</w:t>
      </w:r>
      <w:r w:rsidR="007F750E"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>dell’educazione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, LAS, Roma 2008; per le questioni di teoria della scuola, S. CICATELLI,</w:t>
      </w:r>
      <w:r w:rsidR="007F750E" w:rsidRP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>Prontuario giuridico IRC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, Queriniana, Brescia 2012, pp. 3‐131; utile anche N. INCAMPO,</w:t>
      </w:r>
      <w:r w:rsidR="007F750E" w:rsidRP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>Vademecum dell’Insegnante di Religione Cattolica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, La Scuola, Brescia 2011.</w:t>
      </w:r>
    </w:p>
    <w:p w14:paraId="2F52CAC7" w14:textId="63566529" w:rsidR="00783F5B" w:rsidRPr="007F750E" w:rsidRDefault="000162E1" w:rsidP="007F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F750E">
        <w:rPr>
          <w:rFonts w:ascii="Times New Roman" w:eastAsia="TimesNewRoman" w:hAnsi="Times New Roman" w:cs="Times New Roman"/>
          <w:sz w:val="24"/>
          <w:szCs w:val="24"/>
        </w:rPr>
        <w:lastRenderedPageBreak/>
        <w:t>10. Infine, si raccomanda una aggiornata preparazione sui documenti recenti del Magistero della</w:t>
      </w:r>
      <w:r w:rsidR="007F750E" w:rsidRP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 xml:space="preserve">Chiesa; e si suggerisce di prendere visione di alcuni </w:t>
      </w:r>
      <w:r w:rsidRPr="007F750E">
        <w:rPr>
          <w:rFonts w:ascii="Times New Roman" w:eastAsia="TimesNewRoman" w:hAnsi="Times New Roman" w:cs="Times New Roman"/>
          <w:i/>
          <w:iCs/>
          <w:sz w:val="24"/>
          <w:szCs w:val="24"/>
        </w:rPr>
        <w:t>testi di IRC adottati nelle scuole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, per verificare</w:t>
      </w:r>
      <w:r w:rsidR="007F750E" w:rsidRPr="007F75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F750E">
        <w:rPr>
          <w:rFonts w:ascii="Times New Roman" w:eastAsia="TimesNewRoman" w:hAnsi="Times New Roman" w:cs="Times New Roman"/>
          <w:sz w:val="24"/>
          <w:szCs w:val="24"/>
        </w:rPr>
        <w:t>come i contenuti specifici vengono declinati didatticamente nelle diverse fasce d’eta.</w:t>
      </w:r>
    </w:p>
    <w:sectPr w:rsidR="00783F5B" w:rsidRPr="007F75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E1"/>
    <w:rsid w:val="000162E1"/>
    <w:rsid w:val="0035323E"/>
    <w:rsid w:val="00514CD5"/>
    <w:rsid w:val="00783F5B"/>
    <w:rsid w:val="007F750E"/>
    <w:rsid w:val="009233BC"/>
    <w:rsid w:val="00B81F2F"/>
    <w:rsid w:val="00D2583E"/>
    <w:rsid w:val="00F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BA89"/>
  <w15:chartTrackingRefBased/>
  <w15:docId w15:val="{7CE74EC7-5F65-411D-ACD2-E2744BFE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62E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6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ficioscuola@arcidiocesiurbi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Fedrighelli</dc:creator>
  <cp:keywords/>
  <dc:description/>
  <cp:lastModifiedBy>Luigi Fedrighelli</cp:lastModifiedBy>
  <cp:revision>8</cp:revision>
  <dcterms:created xsi:type="dcterms:W3CDTF">2022-05-25T13:50:00Z</dcterms:created>
  <dcterms:modified xsi:type="dcterms:W3CDTF">2022-05-25T15:27:00Z</dcterms:modified>
</cp:coreProperties>
</file>