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FF49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32"/>
          <w:szCs w:val="32"/>
        </w:rPr>
      </w:pPr>
      <w:r>
        <w:rPr>
          <w:rFonts w:ascii="TimesNewRoman" w:eastAsia="TimesNewRoman" w:cs="TimesNewRoman"/>
          <w:color w:val="000000"/>
          <w:sz w:val="32"/>
          <w:szCs w:val="32"/>
        </w:rPr>
        <w:t>Arcidiocesi di Urbino-Urbania-S. Angelo in Vado</w:t>
      </w:r>
    </w:p>
    <w:p w14:paraId="424C6B69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NewRoman" w:eastAsia="TimesNewRoman" w:cs="TimesNewRoman"/>
          <w:color w:val="000000"/>
          <w:sz w:val="24"/>
          <w:szCs w:val="24"/>
        </w:rPr>
        <w:t>UFFICIO DIOCESANO PER 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’</w:t>
      </w:r>
      <w:r>
        <w:rPr>
          <w:rFonts w:ascii="TimesNewRoman" w:eastAsia="TimesNewRoman" w:cs="TimesNewRoman"/>
          <w:color w:val="000000"/>
          <w:sz w:val="24"/>
          <w:szCs w:val="24"/>
        </w:rPr>
        <w:t>EVANGELIZZAZIONE</w:t>
      </w:r>
    </w:p>
    <w:p w14:paraId="08C17776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NewRoman" w:eastAsia="TimesNewRoman" w:cs="TimesNewRoman"/>
          <w:color w:val="000000"/>
          <w:sz w:val="24"/>
          <w:szCs w:val="24"/>
        </w:rPr>
        <w:t>Settore SCUOLA</w:t>
      </w:r>
    </w:p>
    <w:p w14:paraId="011094F5" w14:textId="4B01FCB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</w:rPr>
      </w:pPr>
      <w:r>
        <w:rPr>
          <w:rFonts w:ascii="TimesNewRoman" w:eastAsia="TimesNewRoman" w:cs="TimesNewRoman"/>
          <w:color w:val="000000"/>
        </w:rPr>
        <w:t>Via Beato Mainardo, 4 - 61029 Urbino (PU)</w:t>
      </w:r>
    </w:p>
    <w:p w14:paraId="4DE3BB37" w14:textId="2B2C5DAD" w:rsidR="000162E1" w:rsidRDefault="007F750E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FF"/>
        </w:rPr>
      </w:pPr>
      <w:hyperlink r:id="rId4" w:history="1">
        <w:r w:rsidR="000162E1" w:rsidRPr="005C223A">
          <w:rPr>
            <w:rStyle w:val="Collegamentoipertestuale"/>
            <w:rFonts w:ascii="TimesNewRoman" w:eastAsia="TimesNewRoman" w:cs="TimesNewRoman"/>
          </w:rPr>
          <w:t>ufficioscuola@arcidiocesiurbino.it</w:t>
        </w:r>
      </w:hyperlink>
    </w:p>
    <w:p w14:paraId="5320E0CE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FF"/>
        </w:rPr>
      </w:pPr>
    </w:p>
    <w:p w14:paraId="34920339" w14:textId="3F58407F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eastAsia="TimesNewRoman" w:hAnsi="TimesNewRoman,Bold" w:cs="TimesNewRoman,Bold"/>
          <w:b/>
          <w:bCs/>
          <w:color w:val="000000"/>
          <w:sz w:val="28"/>
          <w:szCs w:val="28"/>
        </w:rPr>
        <w:t>Tesario ed indicazioni bibliografiche per la prova di idoneità all’IRC</w:t>
      </w:r>
    </w:p>
    <w:p w14:paraId="37AF3010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color w:val="000000"/>
          <w:sz w:val="28"/>
          <w:szCs w:val="28"/>
        </w:rPr>
      </w:pPr>
    </w:p>
    <w:p w14:paraId="60927E2B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eastAsia="TimesNewRoman" w:hAnsi="TimesNewRoman,Bold" w:cs="TimesNewRoman,Bold"/>
          <w:b/>
          <w:bCs/>
          <w:color w:val="000000"/>
          <w:sz w:val="28"/>
          <w:szCs w:val="28"/>
        </w:rPr>
        <w:t>Tesario</w:t>
      </w:r>
    </w:p>
    <w:p w14:paraId="4B2263F8" w14:textId="1758CB2C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Il presente tesario, volutamente dettagliato, intende illustrare i possibili argomenti di verifica oggetto della prova di idoneità.</w:t>
      </w:r>
    </w:p>
    <w:p w14:paraId="0161FC6F" w14:textId="77777777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I candidati dovranno dare prova:</w:t>
      </w:r>
    </w:p>
    <w:p w14:paraId="271DF1E9" w14:textId="3FA275A0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A) di </w:t>
      </w:r>
      <w:r w:rsidRPr="00F76615">
        <w:rPr>
          <w:rFonts w:ascii="Times New Roman" w:eastAsia="TimesNewRoman" w:hAnsi="Times New Roman" w:cs="Times New Roman"/>
          <w:b/>
          <w:bCs/>
          <w:i/>
          <w:iCs/>
          <w:color w:val="000000"/>
          <w:sz w:val="24"/>
          <w:szCs w:val="24"/>
        </w:rPr>
        <w:t>conoscere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, al livello adeguato alle esigenze dell</w:t>
      </w:r>
      <w:r w:rsidR="00F76615"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’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insegnamento:</w:t>
      </w:r>
    </w:p>
    <w:p w14:paraId="42D64B57" w14:textId="77777777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1) i contenuti della </w:t>
      </w: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rivelazione cristiana 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e della </w:t>
      </w: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dottrina della Chiesa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, espressi in un</w:t>
      </w:r>
    </w:p>
    <w:p w14:paraId="321529D3" w14:textId="77777777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linguaggio teologico 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corretto;</w:t>
      </w:r>
    </w:p>
    <w:p w14:paraId="70F2644F" w14:textId="77777777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2) la </w:t>
      </w: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storia culturale del cristianesimo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;</w:t>
      </w:r>
    </w:p>
    <w:p w14:paraId="5D2F9EED" w14:textId="4BA86BE3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3) la </w:t>
      </w: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teoria della scuola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, la </w:t>
      </w: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pedagogia 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e la </w:t>
      </w: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didattica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, con particolare riferimento all’insegnamento della religione cattolica;</w:t>
      </w:r>
    </w:p>
    <w:p w14:paraId="62034D08" w14:textId="3DDD758C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B) di </w:t>
      </w:r>
      <w:r w:rsidRPr="00F76615">
        <w:rPr>
          <w:rFonts w:ascii="Times New Roman" w:eastAsia="TimesNewRoman" w:hAnsi="Times New Roman" w:cs="Times New Roman"/>
          <w:b/>
          <w:bCs/>
          <w:i/>
          <w:iCs/>
          <w:color w:val="000000"/>
          <w:sz w:val="24"/>
          <w:szCs w:val="24"/>
        </w:rPr>
        <w:t xml:space="preserve">saper presentare 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i contenuti dei punti (1) e (2) in maniera pedagogicamente corretta e didatticamente efficace.</w:t>
      </w:r>
    </w:p>
    <w:p w14:paraId="5828D156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color w:val="000000"/>
          <w:sz w:val="28"/>
          <w:szCs w:val="28"/>
        </w:rPr>
      </w:pPr>
    </w:p>
    <w:p w14:paraId="33AF2358" w14:textId="73F34EF4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eastAsia="TimesNewRoman" w:hAnsi="TimesNewRoman,Bold" w:cs="TimesNewRoman,Bold"/>
          <w:b/>
          <w:bCs/>
          <w:color w:val="000000"/>
          <w:sz w:val="28"/>
          <w:szCs w:val="28"/>
        </w:rPr>
        <w:t>1. Teologia Biblica</w:t>
      </w:r>
    </w:p>
    <w:p w14:paraId="05D544FD" w14:textId="25EF3815" w:rsidR="000162E1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1. </w:t>
      </w:r>
      <w:r w:rsidRPr="00F76615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Geografia e storia biblica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. Le regioni, le localita principali, i popoli del Vicino Oriente Antico e in particolare della Terra Santa. Topografia essenziale di Gerusalemme. Geografia dei viaggi di San Paolo. Storia di Israele a grandi linee: patriarchi, esodo, “conquista” ed epoca dei giudici, monarchia, regni divisi, caduta di Samaria, caduta di Gerusalemme ed esilio, restaurazione di Esdra e Neemia, epoca dei Maccabei ed ellenismo, invasione romana, guerra giudaica e distruzione del Tempio. I principali gruppi religiosi del giudaismo del I secolo.</w:t>
      </w:r>
    </w:p>
    <w:p w14:paraId="65474795" w14:textId="77777777" w:rsidR="00F76615" w:rsidRPr="00F76615" w:rsidRDefault="00F76615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14:paraId="42E35AED" w14:textId="779C43A5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2. </w:t>
      </w:r>
      <w:r w:rsidRPr="00F76615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Introduzione generale alla Sacra Scrittura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. Sacra Scrittura e Parola di Dio. Le lingue e le traduzioni della Bibbia. Bibbia ebraica e bibbia cristiana. Concetto di ispirazione. Canone dell’AT e del NT. “Sinfonia dei due testamenti” ed esegesi tipologica. Generi letterari. Bibbia e verita storica.</w:t>
      </w:r>
    </w:p>
    <w:p w14:paraId="2FEB602F" w14:textId="56D7FB2F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>L’interpretazione della Bibbia: metodo storico critico e nuovi strumenti di analisi. La Bibbia come testo letterario.</w:t>
      </w:r>
    </w:p>
    <w:p w14:paraId="4CCA23EF" w14:textId="1ABE0576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3. </w:t>
      </w:r>
      <w:r w:rsidRPr="00F76615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Antico Testamento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. Il Pentateuco: teoria delle fonti (J-E-D-P) e sua valutazione critica alla luce della ricerca recente. I tre grandi codici legislativi (codice dell’alleanza, legge di santità, codice 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deuteronomico): tratti caratteristici. I libri storici. Profeti preesilici (Amos, Osea, Isaia, Geremia), esilici e postesilici (Ezechiele, Isaia 4066, Gioele, Zaccaria). Letteratura apocalittica dell’AT (soprattutto Daniele). I libri sapienziali: tratti caratteristici. I libri deuterocanonici, perché si chiamano cosi.</w:t>
      </w:r>
    </w:p>
    <w:p w14:paraId="5A1B596F" w14:textId="582E3CA9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4. </w:t>
      </w:r>
      <w:r w:rsidRPr="00F76615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Nuovo Testamento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. Datazione degli scritti del NT. Tappe della formazione e redazione dei vangeli. </w:t>
      </w: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Formgeschichte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, </w:t>
      </w: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Tradiktionsgeschichte 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e </w:t>
      </w:r>
      <w:r w:rsidRPr="00F7661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Redaktionsgeschichte</w:t>
      </w:r>
      <w:r w:rsidRPr="00F7661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. Sinottici e questione sinottica. Tratti peculiari di ciascuno dei sinottici. Valore delle parabole. Il Vangelo di Giovanni: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struttura, teologia, termini chiave (vita, verita, segno, luce, vedere, credere, rimanere…); relazione con i sinottici. Gli Atti degli Apostoli: autore, importanza per la storiografia protocristiana, temi teologici principali. Scritti paolini: teologia delle lettere (1Ts, 1,2 Cor, Gal, Rm). Lettere deuteropaoline e pastorali. Il sacerdozio nella lettera agli ebrei. Le lettere cattoliche: temi principali.</w:t>
      </w:r>
    </w:p>
    <w:p w14:paraId="6642E5D7" w14:textId="77777777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>L’Apocalisse: genere letterario e situazione ecclesiale.</w:t>
      </w:r>
    </w:p>
    <w:p w14:paraId="38F6F2AD" w14:textId="3AB4CF44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Letture complementari: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PONTIFICIA COMMISSIONE BIBLICA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L’interpretazione della Bibbia nella Chiesa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(1993); BENEDETTO XVI, Esortazione postsinodale dal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Verbum Domini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(2010)</w:t>
      </w:r>
    </w:p>
    <w:p w14:paraId="458035C0" w14:textId="77777777" w:rsidR="00F76615" w:rsidRPr="00F76615" w:rsidRDefault="00F76615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4C89962" w14:textId="77777777" w:rsidR="000162E1" w:rsidRPr="00F76615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F76615">
        <w:rPr>
          <w:rFonts w:ascii="Times New Roman" w:eastAsia="TimesNewRoman" w:hAnsi="Times New Roman" w:cs="Times New Roman"/>
          <w:b/>
          <w:bCs/>
          <w:sz w:val="28"/>
          <w:szCs w:val="28"/>
        </w:rPr>
        <w:t>2. Teologia fondamentale</w:t>
      </w:r>
    </w:p>
    <w:p w14:paraId="062424AC" w14:textId="72CC4717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Gesù rivelatore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. Storia dell’indagine sul Gesu storico; la situazione attuale (“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>third quest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”). Criteri di autenticita storica dei Vangeli. Valore storico della letteratura apocrifa. L’autocoscienza filiale di Gesu. Il valore dei miracoli. La resurrezione: evento e credibilita. Resurrezione della carne, immortalita dell’anima e dottrina della resurrezione.</w:t>
      </w:r>
    </w:p>
    <w:p w14:paraId="03E0CC13" w14:textId="59B02351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Dall’apologetica alla Teologia Fondamentale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(TF): la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triplex demonstratio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e la funzione della TF alla luce della Costituzione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Dei Filius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del Concilio Vaticano I. Il rinnovamento del TF a partire dalla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Dei Verbum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del Concilio Vaticano II, come disciplina teologica e di frontiera.</w:t>
      </w:r>
    </w:p>
    <w:p w14:paraId="1E7FD962" w14:textId="5043B1D3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La rivelazione e l’obbedienza della fede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. Nozione di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>praeambula fidei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. Concetto di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rivelazione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nel Vaticano I e nel Vaticano II. Cristo pienezza della rivelazione. L’adesione di fede alla rivelazione. La trasmissione della rivelazione nella Chiesa. Scrittura e Tradizione. L’evoluzione del dogma. I principali simboli della fede (apostolico, niceno-costantinopolitano,…). Il magistero: valore, origine, ruolo dell’episcopato; forme del dissenso.</w:t>
      </w:r>
    </w:p>
    <w:p w14:paraId="03CC6901" w14:textId="2FC485E4" w:rsidR="000162E1" w:rsidRPr="00F76615" w:rsidRDefault="000162E1" w:rsidP="00F7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Il dialogo con le altre religioni e la non credenza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. Il fenomeno religioso e la sua specificita: rito, sacrificio, preghiera, ministri. Le principali religioni: ebraismo, islamismo, induismo, buddismo, confucianesimo (tratti generali). Teologia delle religioni: Cristo unico salvatore e valore delle religioni non cristiane; dialogo e missione. Il dialogo privilegiato con l’ebraismo: presupposti e criteri. La sfida della secolarizzazione e i sistemi di senso alternativi. La nuova religiosita e le sette. I fondamentalismi religiosi. Le cosiddette “prove” dell’esistenza di Dio: le cinque vie di S. Tommaso, l’argomento ontologico di S. Anselmo, altri percorsi; valore dimostrativo di questi metodi. Rapporto fede-cultura: inculturazione, globalizzazione, dialogo con il mondo della scienza, della filosofia e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lastRenderedPageBreak/>
        <w:t>dell’arte. Il confronto tra fede e scienza, con particolare riferimento alla cosmologia (Galileo) e alla biologia (Darwin).</w:t>
      </w:r>
    </w:p>
    <w:p w14:paraId="53E4F3E6" w14:textId="77777777" w:rsidR="000162E1" w:rsidRPr="00F76615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Letture complementari: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GIOVANNI PAOLO II,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Fides et Ratio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(1998); COMMISSIONE</w:t>
      </w:r>
    </w:p>
    <w:p w14:paraId="116DA2A9" w14:textId="77777777" w:rsidR="000162E1" w:rsidRPr="00F76615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TEOLOGICA INTERNAZIONALE,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Il cristianesimo e le religioni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(1997); CONGREGAZIONE</w:t>
      </w:r>
    </w:p>
    <w:p w14:paraId="3605FAA6" w14:textId="215158F7" w:rsidR="000162E1" w:rsidRPr="00F76615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PER LA DOTTRINA DELLA FEDE, Dichiarazione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Dominus Jesus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(2000).</w:t>
      </w:r>
    </w:p>
    <w:p w14:paraId="48CECD1A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sz w:val="24"/>
          <w:szCs w:val="24"/>
        </w:rPr>
      </w:pPr>
    </w:p>
    <w:p w14:paraId="1E6D7033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sz w:val="28"/>
          <w:szCs w:val="28"/>
        </w:rPr>
      </w:pPr>
      <w:r>
        <w:rPr>
          <w:rFonts w:ascii="TimesNewRoman,Bold" w:eastAsia="TimesNewRoman" w:hAnsi="TimesNewRoman,Bold" w:cs="TimesNewRoman,Bold"/>
          <w:b/>
          <w:bCs/>
          <w:sz w:val="28"/>
          <w:szCs w:val="28"/>
        </w:rPr>
        <w:t>3. Teologia dogmatica</w:t>
      </w:r>
    </w:p>
    <w:p w14:paraId="71ECCF44" w14:textId="5C394722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Unità e Trinità di Dio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. Monoteismo ebraico e mistero della Trinita. </w:t>
      </w:r>
      <w:r w:rsidRPr="00F76615">
        <w:rPr>
          <w:rFonts w:ascii="Cambria Math" w:eastAsia="TimesNewRoman" w:hAnsi="Cambria Math" w:cs="Cambria Math"/>
          <w:sz w:val="24"/>
          <w:szCs w:val="24"/>
        </w:rPr>
        <w:t>≪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Dio e amore</w:t>
      </w:r>
      <w:r w:rsidRPr="00F76615">
        <w:rPr>
          <w:rFonts w:ascii="Cambria Math" w:eastAsia="TimesNewRoman" w:hAnsi="Cambria Math" w:cs="Cambria Math"/>
          <w:sz w:val="24"/>
          <w:szCs w:val="24"/>
        </w:rPr>
        <w:t>≫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 (1Gv 4,8.16) come sintesi della teologia trinitaria. Trinita immanente e Trinita economica. Nozioni di: natura, persona, ipostasi, relazioni trinitarie. Esposizione dei contenuti dogmatici del simbolo nicenocostantinopolitano.</w:t>
      </w:r>
      <w:r w:rsidR="009233B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L’analogia psicologica di S. Agostino.</w:t>
      </w:r>
    </w:p>
    <w:p w14:paraId="1C668E11" w14:textId="4E3DB20D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Cristologia e soteriologia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. L’annuncio del Regno di Dio: in che modo Gesu e messia? Gesu sapeva di essere il Figlio di Dio? La cristologia implicita dei Vangeli: i titoli cristologici principali.</w:t>
      </w:r>
    </w:p>
    <w:p w14:paraId="4475CC5B" w14:textId="08E2E17E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>Preesistenza del Verbo, unione ipostatica, concepimento verginale: le formule di Calcedonia. I motivi dell’incarnazione: la teoria di S. Anselmo (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>Cur Deus homo?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). Unita del mistero pasquale: passione, morte, risurrezione, ascensione, e compimento nella Pentecoste. Nozione di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>grazia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7AD321D2" w14:textId="49D4E9B3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Antropologia teologica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. L’uomo creato a immagine e somiglianza di Dio (Gen 1,26‐27) e l’uomo plasmato dalla terra (Gen 2,7): complementarita dei racconti biblici. Antropologia bidimensionale (anima-corpo) e tridimensionale (spirito-anima-corpo: 1Ts 5,23): pregi e difetti dei due modelli. L’uomo e la ricerca di salvezza di fronte alla realta del male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dentro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di se. La giustificazione: dottrina paolina, sviluppi dogmatici del concilio di Trento e recenti convergenze ecumeniche. Vocazione universale alla salvezza (1Tt 2,4) e alla santita. Grazia sanante ed elevante.</w:t>
      </w:r>
    </w:p>
    <w:p w14:paraId="10C57917" w14:textId="77777777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L’uomo </w:t>
      </w:r>
      <w:r w:rsidRPr="00F76615">
        <w:rPr>
          <w:rFonts w:ascii="Cambria Math" w:eastAsia="TimesNewRoman" w:hAnsi="Cambria Math" w:cs="Cambria Math"/>
          <w:sz w:val="24"/>
          <w:szCs w:val="24"/>
        </w:rPr>
        <w:t>≪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nuova creatura</w:t>
      </w:r>
      <w:r w:rsidRPr="00F76615">
        <w:rPr>
          <w:rFonts w:ascii="Cambria Math" w:eastAsia="TimesNewRoman" w:hAnsi="Cambria Math" w:cs="Cambria Math"/>
          <w:sz w:val="24"/>
          <w:szCs w:val="24"/>
        </w:rPr>
        <w:t>≫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 secondo San Paolo.</w:t>
      </w:r>
    </w:p>
    <w:p w14:paraId="4403B57C" w14:textId="0DBAF591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Ecclesiologia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. Relazione “Regno di Dio – Chiesa – Mondo”. La Chiesa come </w:t>
      </w:r>
      <w:r w:rsidRPr="00F76615">
        <w:rPr>
          <w:rFonts w:ascii="Cambria Math" w:eastAsia="TimesNewRoman" w:hAnsi="Cambria Math" w:cs="Cambria Math"/>
          <w:sz w:val="24"/>
          <w:szCs w:val="24"/>
        </w:rPr>
        <w:t>≪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sacramento universale di salvezza</w:t>
      </w:r>
      <w:r w:rsidRPr="00F76615">
        <w:rPr>
          <w:rFonts w:ascii="Cambria Math" w:eastAsia="TimesNewRoman" w:hAnsi="Cambria Math" w:cs="Cambria Math"/>
          <w:sz w:val="24"/>
          <w:szCs w:val="24"/>
        </w:rPr>
        <w:t>≫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 (LG 48). Le quattro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>notae ecclesiae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. Necessita della chiesa per la salvezza (LG 14;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Dominus Jesus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IV). Chiesa come popolo di Dio e corpo mistico di Cristo. Ecclesiologia di comunione e vincoli giuridici. La Chiesa di Cristo </w:t>
      </w:r>
      <w:r w:rsidRPr="00F76615">
        <w:rPr>
          <w:rFonts w:ascii="Cambria Math" w:eastAsia="TimesNewRoman" w:hAnsi="Cambria Math" w:cs="Cambria Math"/>
          <w:sz w:val="24"/>
          <w:szCs w:val="24"/>
        </w:rPr>
        <w:t>≪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sussiste nella [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>subsistit in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] Chiesa cattolica</w:t>
      </w:r>
      <w:r w:rsidRPr="00F76615">
        <w:rPr>
          <w:rFonts w:ascii="Cambria Math" w:eastAsia="TimesNewRoman" w:hAnsi="Cambria Math" w:cs="Cambria Math"/>
          <w:sz w:val="24"/>
          <w:szCs w:val="24"/>
        </w:rPr>
        <w:t>≫</w:t>
      </w:r>
    </w:p>
    <w:p w14:paraId="4BC3284E" w14:textId="2FCA17DB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>(LG 8): significato dell’espressione. Chiese e comunita ecclesiali non in piena comunione con Roma. Ecumenismo: origini e importanza. Maria figura della Chiesa.</w:t>
      </w:r>
    </w:p>
    <w:p w14:paraId="18EE0D75" w14:textId="77777777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Sacramenti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. Sacramenti come azioni simboliche efficaci; teologia dei misteri (O. Casel).</w:t>
      </w:r>
    </w:p>
    <w:p w14:paraId="7F87022A" w14:textId="77777777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>L’iniziazione cristiana nei primi secoli. Battesimo e confermazione: effetti, nesso reciproco.</w:t>
      </w:r>
    </w:p>
    <w:p w14:paraId="1A171137" w14:textId="5200DCBD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>Eucaristia: sacrificio, banchetto di comunione, presenza reale e transustanziazione. Penitenza e unzione: elementi biblici, storici e sistematici. Sacramenti a servizio della comunione: ordine e matrimonio. Sacerdozio comune e ministeriale. Matrimonio e indissolubilita: elementi biblici e dottrina cattolica.</w:t>
      </w:r>
    </w:p>
    <w:p w14:paraId="0F4F74EB" w14:textId="53B82327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6.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Escatologia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. L’attesa escatologica nei sinottici e l’escatologia realizzata del Quarto Vangelo. La morte. Giudizio particolare e finale; la resurrezione della carne. Paradiso, inferno, purgatorio: cosa dice davvero il dogma? Dottrina del limbo. La salvezza dei non battezzati. Escatologia finale ed escatologia intermedia.</w:t>
      </w:r>
    </w:p>
    <w:p w14:paraId="5517ACD1" w14:textId="3849D6E1" w:rsidR="000162E1" w:rsidRPr="00F76615" w:rsidRDefault="000162E1" w:rsidP="009233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7. </w:t>
      </w: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Liturgia e preghiera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. Feste ebraiche e feste cristiane. Struttura e teologia dell</w:t>
      </w:r>
      <w:r w:rsidR="009233BC">
        <w:rPr>
          <w:rFonts w:ascii="Times New Roman" w:eastAsia="TimesNewRoman" w:hAnsi="Times New Roman" w:cs="Times New Roman"/>
          <w:sz w:val="24"/>
          <w:szCs w:val="24"/>
        </w:rPr>
        <w:t>’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anno liturgico. La liturgia delle ore. Preghiera cristiana e meditazione orientale: convergenze e divergenze.</w:t>
      </w:r>
    </w:p>
    <w:p w14:paraId="084DC18B" w14:textId="77777777" w:rsidR="000162E1" w:rsidRPr="00F76615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b/>
          <w:bCs/>
          <w:sz w:val="24"/>
          <w:szCs w:val="24"/>
        </w:rPr>
        <w:t>Letture complementari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2A06AF63" w14:textId="77777777" w:rsidR="000162E1" w:rsidRPr="00F76615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GIOVANNI PAOLO II,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Redemptoris missio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(1990); BENEDETTO XVI,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Deus caritas est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(2005);</w:t>
      </w:r>
    </w:p>
    <w:p w14:paraId="5D834427" w14:textId="77777777" w:rsidR="000162E1" w:rsidRPr="00F76615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sz w:val="24"/>
          <w:szCs w:val="24"/>
        </w:rPr>
        <w:t xml:space="preserve">COMMISSIONE TEOLOGICA INTERNAZIONALE, </w:t>
      </w: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>La teologia oggi: prospettive, princìpi e</w:t>
      </w:r>
    </w:p>
    <w:p w14:paraId="0FDA682F" w14:textId="03C552BA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7661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criteri </w:t>
      </w:r>
      <w:r w:rsidRPr="00F76615">
        <w:rPr>
          <w:rFonts w:ascii="Times New Roman" w:eastAsia="TimesNewRoman" w:hAnsi="Times New Roman" w:cs="Times New Roman"/>
          <w:sz w:val="24"/>
          <w:szCs w:val="24"/>
        </w:rPr>
        <w:t>(2012). PAPA FRANCESCO: Encicliche</w:t>
      </w:r>
    </w:p>
    <w:p w14:paraId="44036D01" w14:textId="77777777" w:rsidR="009233BC" w:rsidRPr="00F76615" w:rsidRDefault="009233BC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8DB88A6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sz w:val="28"/>
          <w:szCs w:val="28"/>
        </w:rPr>
      </w:pPr>
      <w:r>
        <w:rPr>
          <w:rFonts w:ascii="TimesNewRoman,Bold" w:eastAsia="TimesNewRoman" w:hAnsi="TimesNewRoman,Bold" w:cs="TimesNewRoman,Bold"/>
          <w:b/>
          <w:bCs/>
          <w:sz w:val="28"/>
          <w:szCs w:val="28"/>
        </w:rPr>
        <w:t>4 Teologia morale</w:t>
      </w:r>
    </w:p>
    <w:p w14:paraId="29161D46" w14:textId="77777777" w:rsidR="000162E1" w:rsidRPr="00514CD5" w:rsidRDefault="000162E1" w:rsidP="00514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14CD5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 w:rsidRPr="00514CD5">
        <w:rPr>
          <w:rFonts w:ascii="Times New Roman" w:eastAsia="TimesNewRoman" w:hAnsi="Times New Roman" w:cs="Times New Roman"/>
          <w:b/>
          <w:bCs/>
          <w:sz w:val="24"/>
          <w:szCs w:val="24"/>
        </w:rPr>
        <w:t>Morale fondamentale</w:t>
      </w:r>
      <w:r w:rsidRPr="00514CD5">
        <w:rPr>
          <w:rFonts w:ascii="Times New Roman" w:eastAsia="TimesNewRoman" w:hAnsi="Times New Roman" w:cs="Times New Roman"/>
          <w:sz w:val="24"/>
          <w:szCs w:val="24"/>
        </w:rPr>
        <w:t>. Specificita della morale cristiana. Possibilita e validita di un’etica laica.</w:t>
      </w:r>
    </w:p>
    <w:p w14:paraId="78677124" w14:textId="30CBCBBB" w:rsidR="000162E1" w:rsidRPr="00514CD5" w:rsidRDefault="000162E1" w:rsidP="00514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14CD5">
        <w:rPr>
          <w:rFonts w:ascii="Times New Roman" w:eastAsia="TimesNewRoman" w:hAnsi="Times New Roman" w:cs="Times New Roman"/>
          <w:sz w:val="24"/>
          <w:szCs w:val="24"/>
        </w:rPr>
        <w:t>Eteronomia, autonomia e teonomia della morale. La legge morale naturale: nozione, rapporto con le diverse culture; relativismo morale. Norma e coscienza; l’obiezione di coscienza. Le fonti della moralita. Il compromesso in campo etico e la cooperazione al male.</w:t>
      </w:r>
    </w:p>
    <w:p w14:paraId="5A5C5138" w14:textId="21C6CECD" w:rsidR="000162E1" w:rsidRPr="00514CD5" w:rsidRDefault="000162E1" w:rsidP="00514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14CD5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514CD5">
        <w:rPr>
          <w:rFonts w:ascii="Times New Roman" w:eastAsia="TimesNewRoman" w:hAnsi="Times New Roman" w:cs="Times New Roman"/>
          <w:b/>
          <w:bCs/>
          <w:sz w:val="24"/>
          <w:szCs w:val="24"/>
        </w:rPr>
        <w:t>Morale della vita e bioetica</w:t>
      </w:r>
      <w:r w:rsidRPr="00514CD5">
        <w:rPr>
          <w:rFonts w:ascii="Times New Roman" w:eastAsia="TimesNewRoman" w:hAnsi="Times New Roman" w:cs="Times New Roman"/>
          <w:sz w:val="24"/>
          <w:szCs w:val="24"/>
        </w:rPr>
        <w:t>. Il valore della vita umana. La pena di morte: evoluzione della dottrina. Lo statuto dell’embrione e la problematica dell’aborto. L’eutanasia. Dottrina della guerra giusta. Le tecniche artificiali di procreazione: criteri di valutazione etica; informazioni generali sulla legislazione italiana ed europea. L’eugenetica.</w:t>
      </w:r>
    </w:p>
    <w:p w14:paraId="24FCBC95" w14:textId="6DDAE156" w:rsidR="000162E1" w:rsidRPr="00514CD5" w:rsidRDefault="000162E1" w:rsidP="00514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14CD5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 w:rsidRPr="00514CD5">
        <w:rPr>
          <w:rFonts w:ascii="Times New Roman" w:eastAsia="TimesNewRoman" w:hAnsi="Times New Roman" w:cs="Times New Roman"/>
          <w:b/>
          <w:bCs/>
          <w:sz w:val="24"/>
          <w:szCs w:val="24"/>
        </w:rPr>
        <w:t>Morale sessuale</w:t>
      </w:r>
      <w:r w:rsidRPr="00514CD5">
        <w:rPr>
          <w:rFonts w:ascii="Times New Roman" w:eastAsia="TimesNewRoman" w:hAnsi="Times New Roman" w:cs="Times New Roman"/>
          <w:sz w:val="24"/>
          <w:szCs w:val="24"/>
        </w:rPr>
        <w:t>. Approcci etici, psicologici, sociologici: valore dell’insegnamento cattolico nella societa secolarizzata.</w:t>
      </w:r>
    </w:p>
    <w:p w14:paraId="0EDB576E" w14:textId="77777777" w:rsidR="000162E1" w:rsidRPr="00514CD5" w:rsidRDefault="000162E1" w:rsidP="00514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14CD5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 w:rsidRPr="00514CD5">
        <w:rPr>
          <w:rFonts w:ascii="Times New Roman" w:eastAsia="TimesNewRoman" w:hAnsi="Times New Roman" w:cs="Times New Roman"/>
          <w:b/>
          <w:bCs/>
          <w:sz w:val="24"/>
          <w:szCs w:val="24"/>
        </w:rPr>
        <w:t>Morale sociale</w:t>
      </w:r>
      <w:r w:rsidRPr="00514CD5">
        <w:rPr>
          <w:rFonts w:ascii="Times New Roman" w:eastAsia="TimesNewRoman" w:hAnsi="Times New Roman" w:cs="Times New Roman"/>
          <w:sz w:val="24"/>
          <w:szCs w:val="24"/>
        </w:rPr>
        <w:t xml:space="preserve">. Cenni di storia della dottrina sociale dalla </w:t>
      </w:r>
      <w:r w:rsidRPr="00514CD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Rerum novarum </w:t>
      </w:r>
      <w:r w:rsidRPr="00514CD5">
        <w:rPr>
          <w:rFonts w:ascii="Times New Roman" w:eastAsia="TimesNewRoman" w:hAnsi="Times New Roman" w:cs="Times New Roman"/>
          <w:sz w:val="24"/>
          <w:szCs w:val="24"/>
        </w:rPr>
        <w:t>ad oggi. Etica</w:t>
      </w:r>
    </w:p>
    <w:p w14:paraId="0FB5CC63" w14:textId="77777777" w:rsidR="000162E1" w:rsidRPr="00514CD5" w:rsidRDefault="000162E1" w:rsidP="00514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14CD5">
        <w:rPr>
          <w:rFonts w:ascii="Times New Roman" w:eastAsia="TimesNewRoman" w:hAnsi="Times New Roman" w:cs="Times New Roman"/>
          <w:sz w:val="24"/>
          <w:szCs w:val="24"/>
        </w:rPr>
        <w:t>ecologica: sviluppo sostenibile e degrado ambientale. Pace, giustizia e carita.</w:t>
      </w:r>
    </w:p>
    <w:p w14:paraId="4C6EB8FF" w14:textId="77777777" w:rsidR="000162E1" w:rsidRPr="00514CD5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14CD5">
        <w:rPr>
          <w:rFonts w:ascii="Times New Roman" w:eastAsia="TimesNewRoman" w:hAnsi="Times New Roman" w:cs="Times New Roman"/>
          <w:b/>
          <w:bCs/>
          <w:sz w:val="24"/>
          <w:szCs w:val="24"/>
        </w:rPr>
        <w:t>Letture complementari</w:t>
      </w:r>
      <w:r w:rsidRPr="00514CD5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1AF1D510" w14:textId="7A17E33E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14CD5">
        <w:rPr>
          <w:rFonts w:ascii="Times New Roman" w:eastAsia="TimesNewRoman" w:hAnsi="Times New Roman" w:cs="Times New Roman"/>
          <w:sz w:val="24"/>
          <w:szCs w:val="24"/>
        </w:rPr>
        <w:t xml:space="preserve">PONTIFICIO CONSIGLIO DELLA GIUSTIZIA E DELLA PACE, </w:t>
      </w:r>
      <w:r w:rsidRPr="00514CD5">
        <w:rPr>
          <w:rFonts w:ascii="Times New Roman" w:eastAsia="TimesNewRoman" w:hAnsi="Times New Roman" w:cs="Times New Roman"/>
          <w:i/>
          <w:iCs/>
          <w:sz w:val="24"/>
          <w:szCs w:val="24"/>
        </w:rPr>
        <w:t>Compendio della Dottrina Sociale</w:t>
      </w:r>
      <w:r w:rsidR="00B81F2F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514CD5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della Chiesa </w:t>
      </w:r>
      <w:r w:rsidRPr="00514CD5">
        <w:rPr>
          <w:rFonts w:ascii="Times New Roman" w:eastAsia="TimesNewRoman" w:hAnsi="Times New Roman" w:cs="Times New Roman"/>
          <w:sz w:val="24"/>
          <w:szCs w:val="24"/>
        </w:rPr>
        <w:t>(2004).</w:t>
      </w:r>
    </w:p>
    <w:p w14:paraId="0175CC4B" w14:textId="77777777" w:rsidR="00B81F2F" w:rsidRPr="00514CD5" w:rsidRDefault="00B81F2F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A8783BB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sz w:val="28"/>
          <w:szCs w:val="28"/>
        </w:rPr>
      </w:pPr>
      <w:r>
        <w:rPr>
          <w:rFonts w:ascii="TimesNewRoman,Bold" w:eastAsia="TimesNewRoman" w:hAnsi="TimesNewRoman,Bold" w:cs="TimesNewRoman,Bold"/>
          <w:b/>
          <w:bCs/>
          <w:sz w:val="28"/>
          <w:szCs w:val="28"/>
        </w:rPr>
        <w:t>5. Storia della chiesa e della teologia</w:t>
      </w:r>
    </w:p>
    <w:p w14:paraId="555A5133" w14:textId="0204149D" w:rsidR="000162E1" w:rsidRPr="00B81F2F" w:rsidRDefault="000162E1" w:rsidP="00B81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 w:rsidRPr="00B81F2F">
        <w:rPr>
          <w:rFonts w:ascii="Times New Roman" w:eastAsia="TimesNewRoman" w:hAnsi="Times New Roman" w:cs="Times New Roman"/>
          <w:b/>
          <w:bCs/>
          <w:sz w:val="24"/>
          <w:szCs w:val="24"/>
        </w:rPr>
        <w:t>I primi secoli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>. Affermazione graduale del cristianesimo. Lo gnosticismo. Ellenizzazione del cristianesimo? Le grandi eresie trinitarie e cristologiche. I quattro grandi concili ecumenici.</w:t>
      </w:r>
    </w:p>
    <w:p w14:paraId="653771B9" w14:textId="2FE45580" w:rsidR="000162E1" w:rsidRPr="00B81F2F" w:rsidRDefault="000162E1" w:rsidP="00B81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1F2F">
        <w:rPr>
          <w:rFonts w:ascii="Times New Roman" w:eastAsia="TimesNewRoman" w:hAnsi="Times New Roman" w:cs="Times New Roman"/>
          <w:sz w:val="24"/>
          <w:szCs w:val="24"/>
        </w:rPr>
        <w:t>Persecuzione e tolleranza tra leggenda e realta: dalle grandi persecuzioni agli editti di Milano (313 d.C.) e Tessalonica (380 d.C.); il cristianesimo religione dell’impero. Principali padri greci e latini; teologia cristiana e filosofia pagana. La prima arte cristiana: dalle catacombe alle basiliche.</w:t>
      </w:r>
    </w:p>
    <w:p w14:paraId="5ADB83FC" w14:textId="6F2A8F24" w:rsidR="000162E1" w:rsidRPr="00B81F2F" w:rsidRDefault="000162E1" w:rsidP="00B81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B81F2F">
        <w:rPr>
          <w:rFonts w:ascii="Times New Roman" w:eastAsia="TimesNewRoman" w:hAnsi="Times New Roman" w:cs="Times New Roman"/>
          <w:b/>
          <w:bCs/>
          <w:sz w:val="24"/>
          <w:szCs w:val="24"/>
        </w:rPr>
        <w:t>Dall’antichità al medioevo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. Il monachesimo: formazione e importanza storica. </w:t>
      </w:r>
      <w:r w:rsidR="00B81F2F" w:rsidRPr="00B81F2F">
        <w:rPr>
          <w:rFonts w:ascii="Times New Roman" w:eastAsia="TimesNewRoman" w:hAnsi="Times New Roman" w:cs="Times New Roman"/>
          <w:sz w:val="24"/>
          <w:szCs w:val="24"/>
        </w:rPr>
        <w:t>Cristianità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 bizantina e lotta iconoclasta. L’evangelizzazione del Nord Europa. Nascita dello stato pontificio e Donazione costantiniana. Lotta per le investiture. Le crociate: valutazione critica. Eresie medievali e loro repressione. Le leggende esoteriche tornate di </w:t>
      </w:r>
      <w:r w:rsidR="00B81F2F" w:rsidRPr="00B81F2F">
        <w:rPr>
          <w:rFonts w:ascii="Times New Roman" w:eastAsia="TimesNewRoman" w:hAnsi="Times New Roman" w:cs="Times New Roman"/>
          <w:sz w:val="24"/>
          <w:szCs w:val="24"/>
        </w:rPr>
        <w:t>attualità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: il </w:t>
      </w:r>
      <w:r w:rsidRPr="00B81F2F">
        <w:rPr>
          <w:rFonts w:ascii="Times New Roman" w:eastAsia="TimesNewRoman" w:hAnsi="Times New Roman" w:cs="Times New Roman"/>
          <w:i/>
          <w:iCs/>
          <w:sz w:val="24"/>
          <w:szCs w:val="24"/>
        </w:rPr>
        <w:t>Graal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, i templari, ecc. Il pensiero 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lastRenderedPageBreak/>
        <w:t>teocratico. Il filone teologico-platonico-agostiniano e quello aristotelico-tomista: intersezioni e divergenze. La grande sintesi filosofico-teologica della Scolastica. Cattedrali, monasteri e altre creazioni dell’arte medievale. I pellegrinaggi e l’istituto del giubileo.</w:t>
      </w:r>
    </w:p>
    <w:p w14:paraId="1641BBA8" w14:textId="42292770" w:rsidR="000162E1" w:rsidRPr="00B81F2F" w:rsidRDefault="000162E1" w:rsidP="00B81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 w:rsidRPr="00B81F2F">
        <w:rPr>
          <w:rFonts w:ascii="Times New Roman" w:eastAsia="TimesNewRoman" w:hAnsi="Times New Roman" w:cs="Times New Roman"/>
          <w:b/>
          <w:bCs/>
          <w:sz w:val="24"/>
          <w:szCs w:val="24"/>
        </w:rPr>
        <w:t>La nuova cristianità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. Gli scismi d’oriente e d’occidente: nuova comprensione della Chiesa. Gli ordini mendicanti. Papato rinascimentale e progetti di riforma: giudizio storico ponderato. Riforma protestante e (controriforma cattolica: tra </w:t>
      </w:r>
      <w:r w:rsidRPr="00B81F2F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sola scriptura 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e primato dei sacramenti. Le guerre di religione e la tolleranza. L’inquisizione tra mito e </w:t>
      </w:r>
      <w:r w:rsidR="00B81F2F" w:rsidRPr="00B81F2F">
        <w:rPr>
          <w:rFonts w:ascii="Times New Roman" w:eastAsia="TimesNewRoman" w:hAnsi="Times New Roman" w:cs="Times New Roman"/>
          <w:sz w:val="24"/>
          <w:szCs w:val="24"/>
        </w:rPr>
        <w:t>realtà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>. Le missioni moderne: evangelizzazione e colonizzazione (es: America Latina); inculturazione e diritti umani (es. Cina). Il caso Galileo.</w:t>
      </w:r>
    </w:p>
    <w:p w14:paraId="1BCC2C5B" w14:textId="33321737" w:rsidR="000162E1" w:rsidRPr="00B81F2F" w:rsidRDefault="000162E1" w:rsidP="00B81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 w:rsidRPr="00B81F2F">
        <w:rPr>
          <w:rFonts w:ascii="Times New Roman" w:eastAsia="TimesNewRoman" w:hAnsi="Times New Roman" w:cs="Times New Roman"/>
          <w:b/>
          <w:bCs/>
          <w:sz w:val="24"/>
          <w:szCs w:val="24"/>
        </w:rPr>
        <w:t>La modernità e postmodernità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>. La rivoluzione francese e le nuove persecuzioni. La questione sociale. Il risorgimento e la chiesa; unita d’Italia e “questione romana”. La chiesa e la modernita: conflitto e integrazione. Mondializzazione della chiesa. L’atteggiamento della Chiesa e dei cristiani di fronte al nazismo e al comunismo. Il Concilio Vaticano II e le sue ermeneutiche. Le nuove teologie: teologia della liberazione, teologia femminista, ecc.</w:t>
      </w:r>
    </w:p>
    <w:p w14:paraId="4451B4A0" w14:textId="04973BC7" w:rsidR="000162E1" w:rsidRPr="00B81F2F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B81F2F">
        <w:rPr>
          <w:rFonts w:ascii="Times New Roman" w:eastAsia="TimesNewRoman" w:hAnsi="Times New Roman" w:cs="Times New Roman"/>
          <w:b/>
          <w:bCs/>
          <w:sz w:val="24"/>
          <w:szCs w:val="24"/>
        </w:rPr>
        <w:t>Letture complementari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 xml:space="preserve">: COMMISSIONE TEOLOGICA INTERNAZIONALE, </w:t>
      </w:r>
      <w:r w:rsidRPr="00B81F2F">
        <w:rPr>
          <w:rFonts w:ascii="Times New Roman" w:eastAsia="TimesNewRoman" w:hAnsi="Times New Roman" w:cs="Times New Roman"/>
          <w:i/>
          <w:iCs/>
          <w:sz w:val="24"/>
          <w:szCs w:val="24"/>
        </w:rPr>
        <w:t>Memoria e</w:t>
      </w:r>
      <w:r w:rsidR="00B81F2F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B81F2F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riconciliazione: la Chiesa e le colpe del passato </w:t>
      </w:r>
      <w:r w:rsidRPr="00B81F2F">
        <w:rPr>
          <w:rFonts w:ascii="Times New Roman" w:eastAsia="TimesNewRoman" w:hAnsi="Times New Roman" w:cs="Times New Roman"/>
          <w:sz w:val="24"/>
          <w:szCs w:val="24"/>
        </w:rPr>
        <w:t>(2000).</w:t>
      </w:r>
    </w:p>
    <w:p w14:paraId="16AA146B" w14:textId="77777777" w:rsidR="00B81F2F" w:rsidRPr="00B81F2F" w:rsidRDefault="00B81F2F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D8B3BDE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sz w:val="28"/>
          <w:szCs w:val="28"/>
        </w:rPr>
      </w:pPr>
      <w:r>
        <w:rPr>
          <w:rFonts w:ascii="TimesNewRoman,Bold" w:eastAsia="TimesNewRoman" w:hAnsi="TimesNewRoman,Bold" w:cs="TimesNewRoman,Bold"/>
          <w:b/>
          <w:bCs/>
          <w:sz w:val="28"/>
          <w:szCs w:val="28"/>
        </w:rPr>
        <w:t>6. Elementi di teoria della scuola, psicopedagogia e didattica</w:t>
      </w:r>
    </w:p>
    <w:p w14:paraId="22114DCA" w14:textId="5B0FC7C4" w:rsidR="000162E1" w:rsidRPr="0035323E" w:rsidRDefault="000162E1" w:rsidP="00353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323E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 w:rsidRPr="0035323E">
        <w:rPr>
          <w:rFonts w:ascii="Times New Roman" w:eastAsia="TimesNewRoman" w:hAnsi="Times New Roman" w:cs="Times New Roman"/>
          <w:b/>
          <w:bCs/>
          <w:sz w:val="24"/>
          <w:szCs w:val="24"/>
        </w:rPr>
        <w:t>Psicopedagogia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>. Principali teorie pedagogiche. Potenziale religioso del bambino. Elementi cognitivi ed emotivi che influenzano il processo di apprendimento. La motivazione all</w:t>
      </w:r>
      <w:r w:rsidR="0035323E">
        <w:rPr>
          <w:rFonts w:ascii="Times New Roman" w:eastAsia="TimesNewRoman" w:hAnsi="Times New Roman" w:cs="Times New Roman"/>
          <w:sz w:val="24"/>
          <w:szCs w:val="24"/>
        </w:rPr>
        <w:t>’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>apprendimento. Educazione, formazione, istruzione nella nuova scuola. Deontologia della relazione pedagogica. Il rapporto dell</w:t>
      </w:r>
      <w:r w:rsidR="0035323E">
        <w:rPr>
          <w:rFonts w:ascii="Times New Roman" w:eastAsia="TimesNewRoman" w:hAnsi="Times New Roman" w:cs="Times New Roman"/>
          <w:sz w:val="24"/>
          <w:szCs w:val="24"/>
        </w:rPr>
        <w:t>’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>insegnante con le famiglie.</w:t>
      </w:r>
    </w:p>
    <w:p w14:paraId="3FBE90BE" w14:textId="52FBD5E7" w:rsidR="000162E1" w:rsidRPr="0035323E" w:rsidRDefault="000162E1" w:rsidP="00353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323E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35323E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Teoria della scuola e dell’IRC. 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 xml:space="preserve">Scuola, autonomia scolastica e normativa recente. Storia, evoluzione e normativa vigente dell’IRC. Idoneita all’IRC: riconoscimento, validita, revoca. 3. </w:t>
      </w:r>
      <w:r w:rsidRPr="0035323E">
        <w:rPr>
          <w:rFonts w:ascii="Times New Roman" w:eastAsia="TimesNewRoman" w:hAnsi="Times New Roman" w:cs="Times New Roman"/>
          <w:b/>
          <w:bCs/>
          <w:sz w:val="24"/>
          <w:szCs w:val="24"/>
        </w:rPr>
        <w:t>Didattica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>. Orientamenti pedagogici e i modelli didattici a scuola e nell’insegnamento della Religione Cattolica. Dalla scuola delle conoscenze alla scuola delle competenze. Dai programmi alle Indicazioni. Progettazione didattica e competenze. La valutazione dell’IRC. Le Indicazioni nazionali IRC per il primo ciclo (2010) e le Indicazioni e le Linee guida IRC per il secondo ciclo (2012). Il contributo peculiare dell’IRC al curricolo scolastico. L’IRC in classi multietniche e multi</w:t>
      </w:r>
    </w:p>
    <w:p w14:paraId="0CC3A38A" w14:textId="77777777" w:rsidR="000162E1" w:rsidRPr="0035323E" w:rsidRDefault="000162E1" w:rsidP="00353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323E">
        <w:rPr>
          <w:rFonts w:ascii="Times New Roman" w:eastAsia="TimesNewRoman" w:hAnsi="Times New Roman" w:cs="Times New Roman"/>
          <w:sz w:val="24"/>
          <w:szCs w:val="24"/>
        </w:rPr>
        <w:t>religiose.</w:t>
      </w:r>
    </w:p>
    <w:p w14:paraId="4865A8CB" w14:textId="77777777" w:rsidR="000162E1" w:rsidRPr="0035323E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323E">
        <w:rPr>
          <w:rFonts w:ascii="Times New Roman" w:eastAsia="TimesNewRoman" w:hAnsi="Times New Roman" w:cs="Times New Roman"/>
          <w:b/>
          <w:bCs/>
          <w:sz w:val="24"/>
          <w:szCs w:val="24"/>
        </w:rPr>
        <w:t>Letture complementari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7F094E68" w14:textId="77777777" w:rsidR="000162E1" w:rsidRPr="0035323E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323E">
        <w:rPr>
          <w:rFonts w:ascii="Times New Roman" w:eastAsia="TimesNewRoman" w:hAnsi="Times New Roman" w:cs="Times New Roman"/>
          <w:sz w:val="24"/>
          <w:szCs w:val="24"/>
        </w:rPr>
        <w:t xml:space="preserve">CEI, </w:t>
      </w:r>
      <w:r w:rsidRPr="0035323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Insegnare religione cattolica oggi 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>(1991)</w:t>
      </w:r>
    </w:p>
    <w:p w14:paraId="4FCFE69F" w14:textId="5997B0C8" w:rsidR="000162E1" w:rsidRPr="0035323E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323E">
        <w:rPr>
          <w:rFonts w:ascii="Times New Roman" w:eastAsia="TimesNewRoman" w:hAnsi="Times New Roman" w:cs="Times New Roman"/>
          <w:sz w:val="24"/>
          <w:szCs w:val="24"/>
        </w:rPr>
        <w:t xml:space="preserve">DPR n. 175 del 2012, </w:t>
      </w:r>
      <w:r w:rsidRPr="0035323E">
        <w:rPr>
          <w:rFonts w:ascii="Times New Roman" w:eastAsia="TimesNewRoman" w:hAnsi="Times New Roman" w:cs="Times New Roman"/>
          <w:i/>
          <w:iCs/>
          <w:sz w:val="24"/>
          <w:szCs w:val="24"/>
        </w:rPr>
        <w:t>Esecuzione dell’Intesa fra il Ministero dell’istruzione, dell’università e della ricerca e il Presidente della Conferenza episcopale italiana per l’insegnamento della religione cattolica nelle scuole pubbliche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 xml:space="preserve">, firmata il 28 giugno 2012 DPR 11 febbraio 2010, </w:t>
      </w:r>
      <w:r w:rsidRPr="0035323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Sulle indicazioni didattiche per l’insegnamento della religione cattolica nelle scuole dell’infanzia e del primo ciclo 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 xml:space="preserve">DPR n. 176 del 2012, </w:t>
      </w:r>
      <w:r w:rsidRPr="0035323E">
        <w:rPr>
          <w:rFonts w:ascii="Times New Roman" w:eastAsia="TimesNewRoman" w:hAnsi="Times New Roman" w:cs="Times New Roman"/>
          <w:i/>
          <w:iCs/>
          <w:sz w:val="24"/>
          <w:szCs w:val="24"/>
        </w:rPr>
        <w:t>Sulle indicazioni didattiche per l’insegnamento della religione cattolica nelle scuole del secondo ciclo di istruzione e nei percorsi di istruzione e formazione professionale</w:t>
      </w:r>
      <w:r w:rsidRPr="0035323E">
        <w:rPr>
          <w:rFonts w:ascii="Times New Roman" w:eastAsia="TimesNewRoman" w:hAnsi="Times New Roman" w:cs="Times New Roman"/>
          <w:sz w:val="24"/>
          <w:szCs w:val="24"/>
        </w:rPr>
        <w:t>, firmato il 28 giugno 2012</w:t>
      </w:r>
    </w:p>
    <w:p w14:paraId="75CF43EA" w14:textId="77777777" w:rsidR="000162E1" w:rsidRPr="0035323E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323E">
        <w:rPr>
          <w:rFonts w:ascii="Times New Roman" w:eastAsia="TimesNewRoman" w:hAnsi="Times New Roman" w:cs="Times New Roman"/>
          <w:sz w:val="24"/>
          <w:szCs w:val="24"/>
        </w:rPr>
        <w:t>Un qualsiasi testo scolastico di IRC per l’ordine e grado adeguato alla prova che si intende svolgere</w:t>
      </w:r>
    </w:p>
    <w:p w14:paraId="2B6D6643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sz w:val="28"/>
          <w:szCs w:val="28"/>
        </w:rPr>
      </w:pPr>
      <w:r>
        <w:rPr>
          <w:rFonts w:ascii="TimesNewRoman,Bold" w:eastAsia="TimesNewRoman" w:hAnsi="TimesNewRoman,Bold" w:cs="TimesNewRoman,Bold"/>
          <w:b/>
          <w:bCs/>
          <w:sz w:val="28"/>
          <w:szCs w:val="28"/>
        </w:rPr>
        <w:lastRenderedPageBreak/>
        <w:t>Ulteriori suggerimenti e indicazioni bibliografiche per la preparazione della</w:t>
      </w:r>
    </w:p>
    <w:p w14:paraId="1EF8F4BB" w14:textId="77777777" w:rsidR="000162E1" w:rsidRDefault="000162E1" w:rsidP="000162E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" w:hAnsi="TimesNewRoman,Bold" w:cs="TimesNewRoman,Bold"/>
          <w:b/>
          <w:bCs/>
          <w:sz w:val="28"/>
          <w:szCs w:val="28"/>
        </w:rPr>
      </w:pPr>
      <w:r>
        <w:rPr>
          <w:rFonts w:ascii="TimesNewRoman,Bold" w:eastAsia="TimesNewRoman" w:hAnsi="TimesNewRoman,Bold" w:cs="TimesNewRoman,Bold"/>
          <w:b/>
          <w:bCs/>
          <w:sz w:val="28"/>
          <w:szCs w:val="28"/>
        </w:rPr>
        <w:t>prova di idoneità</w:t>
      </w:r>
    </w:p>
    <w:p w14:paraId="498F93FD" w14:textId="7FF9F9CF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1. Per la preparazione dell’esame, punto di partenza imprescindibile e la conoscenza adeguata del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Catechismo della Chiesa Cattolica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(CCC) nella sua redazione definitiva (1997). Il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Compendio del Catechismo della Chiesa Cattolica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(Ed. San Paolo, Cinisello Balsamo 2005) può essere uno strumento utile per la verifica, data la struttura didattica a domande e risposte. Come integrazione si suggerisce anche la lettura del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Catechismo degli adulti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redatto dalla Conferenza Episcopale Italiana,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La verità vi farà liberi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(Libreria Editrice Vaticana 1995), che adatta il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Catechismo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alla situazione</w:t>
      </w:r>
    </w:p>
    <w:p w14:paraId="242D3491" w14:textId="77777777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>religiosa dell’Italia.</w:t>
      </w:r>
    </w:p>
    <w:p w14:paraId="40C21BEA" w14:textId="724F727E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2. I principali testi del magistero possono essere trovati, anche in traduzione italiana, in: H. D – P. HUNERMANN,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Enchiridion symbolorum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EDB, Bologna 2012 (Edizione bilingue sulla 43° edizione)</w:t>
      </w:r>
      <w:r w:rsidR="007F750E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4D14A894" w14:textId="7AEEFC34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3. Al livello di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metodo di studio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si raccomanda di consultare con attenzione il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tesario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proposto per la prova (disponibile sul sito internet e di studiare tutti gli argomenti elencati come possibile tema di esame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a partire dalle nozioni acquisite e dai testi di studio utilizzati nel corso degli studi accademici.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Qualora alcuni argomenti richiesti non fossero stati trattati negli studi universitari, la bibliografia sotto indicata consentira di trovare tutte le informazioni necessarie.</w:t>
      </w:r>
    </w:p>
    <w:p w14:paraId="48C9E092" w14:textId="4CAADCFA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4. Il candidato dovra dare prova non solo di conoscere isolatamente i singoli argomenti del tesario ma anche di saper fare gli opportuni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collegamenti.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In particolare, e importante saper declinare gli argomenti nel loro sviluppo storico.</w:t>
      </w:r>
    </w:p>
    <w:p w14:paraId="6737CAB0" w14:textId="0E0675B8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5. Per la preparazione della </w:t>
      </w:r>
      <w:r w:rsidRPr="007F750E">
        <w:rPr>
          <w:rFonts w:ascii="Times New Roman" w:eastAsia="TimesNewRoman" w:hAnsi="Times New Roman" w:cs="Times New Roman"/>
          <w:b/>
          <w:bCs/>
          <w:sz w:val="24"/>
          <w:szCs w:val="24"/>
        </w:rPr>
        <w:t>prima sezione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si raccomanda in primo luogo l’uso di una buona Bibbia (ad. es.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Bibbia di Gerusalemme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Bibbia TOB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). La lettura delle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introduzioni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ai diversi libri biblici – in una edizione aggiornata – e la consultazione attenta delle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cartine geografiche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allegate (Vicino Oriente, Israele, Gerusalemme, viaggi paolini) puo essere un buon metodo per ripassare e organizzare la materia. Meglio una buona conoscenza dei dati fondamentali, accompagnata da una lettura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diretta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dei testi, che una scorsa veloce di tanta letteratura secondaria. La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storia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e la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geografia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bibliche possono essere utilmente approfondite su un atlante (ad es. G. PEREGO – M. CUCCA,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Nuovo Atlante Biblico Interdisciplinare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San Paolo, Milano 2012; G. RAVASI,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Nuova guida alla</w:t>
      </w:r>
    </w:p>
    <w:p w14:paraId="69738F74" w14:textId="4FCBE013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Bibbia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San Paolo, Milano 2008). Per familiarizzare con la questione sinottica e utile lavorare almeno un po’ con una sinossi (ad es. A. POPPI,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Sinossi dei quattro Vangeli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Padova, Messaggero, 2004). E possibile approfondire la conoscenza della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Dei Verbum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(come pure le questioni relative al canone, l’ispirazione, i generi letterari, la storia dell’interpretazione) consultando le voci relative dei piu diffusi dizionari teologici (BROWN‐FITZMYER‐MURPHY,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Nuovo Grande Commentario Biblico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Queriniana, Brescia 2002; ROSSANO‐RAVASI‐GIRLANDA,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Nuovo Dizionario di Teologia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lastRenderedPageBreak/>
        <w:t>Biblica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Ed. Paoline, Cinisello Balsamo (Mi) 2001; LATOURELLE‐FISICHELLA,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Dizionario di Teologia Fondamentale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Cittadella, Assisi 1990).</w:t>
      </w:r>
    </w:p>
    <w:p w14:paraId="29840AA5" w14:textId="77B3D06D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6. Per la preparazione della </w:t>
      </w:r>
      <w:r w:rsidRPr="007F750E">
        <w:rPr>
          <w:rFonts w:ascii="Times New Roman" w:eastAsia="TimesNewRoman" w:hAnsi="Times New Roman" w:cs="Times New Roman"/>
          <w:b/>
          <w:bCs/>
          <w:sz w:val="24"/>
          <w:szCs w:val="24"/>
        </w:rPr>
        <w:t>seconda sezione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la consultazione del gia citato</w:t>
      </w:r>
      <w:r w:rsid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LATOURELLE‐FISICHELLA,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Dizionario di Teologia Fondamentale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Cittadella, Assisi 1990, e</w:t>
      </w:r>
      <w:r w:rsid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caldamente raccomandata. Il punto 2.4 merita particolare attenzione: occorre una preliminare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conoscenza degli elementi di base delle religioni non cristiane, con particolare attenzione ad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ebraismo ed islam; poi un corretto approccio teologico, in cui identita cristiana e dialogo siano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adeguatamente articolati (la dichiarazione del Vaticano II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Nostra Aetate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[1965] e una lettura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imprescindibile). Per la conoscenza delle sette e dei nuovi movimenti religiosi, oltre che delle altre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religioni e confessioni presenti in Italia, si 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>può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 consultare utilmente il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sito</w:t>
      </w:r>
      <w:r w:rsid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italia</w:t>
      </w:r>
      <w:r w:rsid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www.cesnur.org/religioni</w:t>
      </w:r>
      <w:r w:rsidR="007F750E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06D8993" w14:textId="658A594B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7. Per la preparazione della </w:t>
      </w:r>
      <w:r w:rsidRPr="007F750E">
        <w:rPr>
          <w:rFonts w:ascii="Times New Roman" w:eastAsia="TimesNewRoman" w:hAnsi="Times New Roman" w:cs="Times New Roman"/>
          <w:b/>
          <w:bCs/>
          <w:sz w:val="24"/>
          <w:szCs w:val="24"/>
        </w:rPr>
        <w:t>terza e quarta sezione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il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Catechismo della Chiesa Cattolica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fa la parte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del leone. La bibliografia sarebbe troppo vasta per poter indicare qualcosa di utile; meglio leggere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attentamente il CCC, magari anche approfondendo i singoli temi grazie all’indice analitico,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ripercorrendo tutti i paragrafi relativi a quell’argomento. Per eventuali approfondimenti, l’unico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utile suggerimento possibile e l’invito a non disperdersi in letture frammentate e di poco valore e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consultare invece i piu diffusi dizionari o enciclopedie (ad es. BARBAGLIO‐BOF‐DIANICH,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Teologia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Ed. Paoline 2003). Per la preparazione sui temi recenti di morale e opportuno leggere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soprattutto i documenti del magistre, mentre per la morale fondamentale si ritiene sufficiente la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conoscenza del CCC.</w:t>
      </w:r>
    </w:p>
    <w:p w14:paraId="417DB6B0" w14:textId="03DBD240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8. Per la preparazione della </w:t>
      </w:r>
      <w:r w:rsidRPr="007F750E">
        <w:rPr>
          <w:rFonts w:ascii="Times New Roman" w:eastAsia="TimesNewRoman" w:hAnsi="Times New Roman" w:cs="Times New Roman"/>
          <w:b/>
          <w:bCs/>
          <w:sz w:val="24"/>
          <w:szCs w:val="24"/>
        </w:rPr>
        <w:t>quinta sezione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, si puo consultare A. FRANZEN,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Breve storia della</w:t>
      </w:r>
      <w:r w:rsidR="007F750E"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Chiesa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Queriniana, Brescia 200911. Utile l’opera divulgativa G. FILORAMO,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Cristianesimo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Mondadori‐Electa, Milano 2007, anche se l’impostazione dell’autore rende necessaria una lettura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critica del testo. Per collegare adeguatamente la storia della chiesa con lo sviluppo del dogma, si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consiglia H. JEDIN,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Breve storia dei Concili. I ventuno concili ecumenici nel quadro della storia</w:t>
      </w:r>
      <w:r w:rsidR="007F750E"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della Chiesa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Morcelliana, Brescia 1983. E importante soprattutto avere una conoscenza critica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delle questioni controverse (ad es. l’inquisizione, Chiesa e totalitarismi, ecc.), che da un lato eviti il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trionfalismo ingenuo, ma dall’altro non sia succube di ricostruzioni storiografiche ideologicamente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viziate.</w:t>
      </w:r>
    </w:p>
    <w:p w14:paraId="1C78016F" w14:textId="686751D0" w:rsidR="000162E1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9. Per lo studio della </w:t>
      </w:r>
      <w:r w:rsidRPr="007F750E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sesta sezione,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per gli argomenti psicopedagogici e didattici si raccomanda la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consultazione di J. M. PRELLEZO – G. MALIZIA – C. NANNI (edd.),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Dizionario di scienze</w:t>
      </w:r>
      <w:r w:rsidR="007F750E"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dell’educazione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LAS, Roma 2008; per le questioni di teoria della scuola, S. CICATELLI,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Prontuario giuridico IRC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Queriniana, Brescia 2012, pp. 3‐131; utile anche N. INCAMPO,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Vademecum dell’Insegnante di Religione Cattolica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La Scuola, Brescia 2011.</w:t>
      </w:r>
    </w:p>
    <w:p w14:paraId="2F52CAC7" w14:textId="63566529" w:rsidR="00783F5B" w:rsidRPr="007F750E" w:rsidRDefault="000162E1" w:rsidP="007F7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750E">
        <w:rPr>
          <w:rFonts w:ascii="Times New Roman" w:eastAsia="TimesNewRoman" w:hAnsi="Times New Roman" w:cs="Times New Roman"/>
          <w:sz w:val="24"/>
          <w:szCs w:val="24"/>
        </w:rPr>
        <w:lastRenderedPageBreak/>
        <w:t>10. Infine, si raccomanda una aggiornata preparazione sui documenti recenti del Magistero della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 xml:space="preserve">Chiesa; e si suggerisce di prendere visione di alcuni </w:t>
      </w:r>
      <w:r w:rsidRPr="007F750E">
        <w:rPr>
          <w:rFonts w:ascii="Times New Roman" w:eastAsia="TimesNewRoman" w:hAnsi="Times New Roman" w:cs="Times New Roman"/>
          <w:i/>
          <w:iCs/>
          <w:sz w:val="24"/>
          <w:szCs w:val="24"/>
        </w:rPr>
        <w:t>testi di IRC adottati nelle scuole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, per verificare</w:t>
      </w:r>
      <w:r w:rsidR="007F750E" w:rsidRPr="007F75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F750E">
        <w:rPr>
          <w:rFonts w:ascii="Times New Roman" w:eastAsia="TimesNewRoman" w:hAnsi="Times New Roman" w:cs="Times New Roman"/>
          <w:sz w:val="24"/>
          <w:szCs w:val="24"/>
        </w:rPr>
        <w:t>come i contenuti specifici vengono declinati didatticamente nelle diverse fasce d’eta.</w:t>
      </w:r>
    </w:p>
    <w:sectPr w:rsidR="00783F5B" w:rsidRPr="007F7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E1"/>
    <w:rsid w:val="000162E1"/>
    <w:rsid w:val="0035323E"/>
    <w:rsid w:val="00514CD5"/>
    <w:rsid w:val="00783F5B"/>
    <w:rsid w:val="007F750E"/>
    <w:rsid w:val="009233BC"/>
    <w:rsid w:val="00B81F2F"/>
    <w:rsid w:val="00D2583E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BA89"/>
  <w15:chartTrackingRefBased/>
  <w15:docId w15:val="{7CE74EC7-5F65-411D-ACD2-E2744BFE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62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cuola@arcidiocesiurb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Fedrighelli</dc:creator>
  <cp:keywords/>
  <dc:description/>
  <cp:lastModifiedBy>Luigi Fedrighelli</cp:lastModifiedBy>
  <cp:revision>8</cp:revision>
  <dcterms:created xsi:type="dcterms:W3CDTF">2022-05-25T13:50:00Z</dcterms:created>
  <dcterms:modified xsi:type="dcterms:W3CDTF">2022-05-25T15:27:00Z</dcterms:modified>
</cp:coreProperties>
</file>